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24" w:rsidRDefault="00C71C24" w:rsidP="00C71C24">
      <w:pPr>
        <w:keepNext/>
        <w:keepLines/>
        <w:shd w:val="clear" w:color="auto" w:fill="FFFFFF"/>
        <w:suppressAutoHyphens/>
        <w:spacing w:after="0" w:line="240" w:lineRule="auto"/>
        <w:jc w:val="both"/>
        <w:outlineLvl w:val="1"/>
        <w:rPr>
          <w:rFonts w:eastAsia="Times New Roman"/>
          <w:bCs/>
          <w:kern w:val="36"/>
          <w:sz w:val="24"/>
          <w:szCs w:val="24"/>
          <w:lang w:eastAsia="pt-BR"/>
        </w:rPr>
      </w:pPr>
      <w:r w:rsidRPr="00135CB1">
        <w:rPr>
          <w:rFonts w:eastAsia="Times New Roman"/>
          <w:bCs/>
          <w:kern w:val="36"/>
          <w:sz w:val="24"/>
          <w:szCs w:val="24"/>
          <w:lang w:eastAsia="pt-BR"/>
        </w:rPr>
        <w:t xml:space="preserve">Nota Técnica n. </w:t>
      </w:r>
      <w:r w:rsidR="009F2DBE">
        <w:rPr>
          <w:rFonts w:eastAsia="Times New Roman"/>
          <w:bCs/>
          <w:kern w:val="36"/>
          <w:sz w:val="24"/>
          <w:szCs w:val="24"/>
          <w:lang w:eastAsia="pt-BR"/>
        </w:rPr>
        <w:t>13</w:t>
      </w:r>
      <w:r w:rsidRPr="00135CB1">
        <w:rPr>
          <w:rFonts w:eastAsia="Times New Roman"/>
          <w:bCs/>
          <w:kern w:val="36"/>
          <w:sz w:val="24"/>
          <w:szCs w:val="24"/>
          <w:lang w:eastAsia="pt-BR"/>
        </w:rPr>
        <w:t>/2018</w:t>
      </w:r>
    </w:p>
    <w:p w:rsidR="00C71C24" w:rsidRPr="00135CB1" w:rsidRDefault="00C71C24" w:rsidP="00C71C24">
      <w:pPr>
        <w:keepNext/>
        <w:keepLines/>
        <w:shd w:val="clear" w:color="auto" w:fill="FFFFFF"/>
        <w:suppressAutoHyphens/>
        <w:spacing w:after="0" w:line="240" w:lineRule="auto"/>
        <w:jc w:val="both"/>
        <w:outlineLvl w:val="1"/>
        <w:rPr>
          <w:rFonts w:eastAsia="Times New Roman"/>
          <w:bCs/>
          <w:kern w:val="36"/>
          <w:sz w:val="24"/>
          <w:szCs w:val="24"/>
          <w:lang w:eastAsia="pt-BR"/>
        </w:rPr>
      </w:pPr>
    </w:p>
    <w:p w:rsidR="00C71C24" w:rsidRPr="00135CB1" w:rsidRDefault="00C71C24" w:rsidP="00C71C24">
      <w:pPr>
        <w:keepNext/>
        <w:keepLines/>
        <w:shd w:val="clear" w:color="auto" w:fill="FFFFFF"/>
        <w:suppressAutoHyphens/>
        <w:spacing w:after="0" w:line="240" w:lineRule="auto"/>
        <w:jc w:val="right"/>
        <w:outlineLvl w:val="1"/>
        <w:rPr>
          <w:rFonts w:eastAsia="Times New Roman"/>
          <w:bCs/>
          <w:kern w:val="36"/>
          <w:sz w:val="24"/>
          <w:szCs w:val="24"/>
          <w:lang w:eastAsia="pt-BR"/>
        </w:rPr>
      </w:pPr>
      <w:r>
        <w:rPr>
          <w:rFonts w:eastAsia="Times New Roman"/>
          <w:bCs/>
          <w:kern w:val="36"/>
          <w:sz w:val="24"/>
          <w:szCs w:val="24"/>
          <w:lang w:eastAsia="pt-BR"/>
        </w:rPr>
        <w:t xml:space="preserve">Brasília, 26 de junho </w:t>
      </w:r>
      <w:r w:rsidRPr="00135CB1">
        <w:rPr>
          <w:rFonts w:eastAsia="Times New Roman"/>
          <w:bCs/>
          <w:kern w:val="36"/>
          <w:sz w:val="24"/>
          <w:szCs w:val="24"/>
          <w:lang w:eastAsia="pt-BR"/>
        </w:rPr>
        <w:t>de 2018.</w:t>
      </w:r>
    </w:p>
    <w:p w:rsidR="00C71C24" w:rsidRPr="00135CB1" w:rsidRDefault="00C71C24" w:rsidP="00C71C24">
      <w:pPr>
        <w:keepNext/>
        <w:keepLines/>
        <w:shd w:val="clear" w:color="auto" w:fill="FFFFFF"/>
        <w:suppressAutoHyphens/>
        <w:spacing w:after="0" w:line="240" w:lineRule="auto"/>
        <w:jc w:val="right"/>
        <w:outlineLvl w:val="1"/>
        <w:rPr>
          <w:rFonts w:eastAsia="Times New Roman"/>
          <w:bCs/>
          <w:kern w:val="36"/>
          <w:sz w:val="24"/>
          <w:szCs w:val="24"/>
          <w:lang w:eastAsia="pt-BR"/>
        </w:rPr>
      </w:pPr>
    </w:p>
    <w:p w:rsidR="00C71C24" w:rsidRPr="00135CB1" w:rsidRDefault="00C71C24" w:rsidP="00C71C24">
      <w:pPr>
        <w:keepNext/>
        <w:keepLines/>
        <w:shd w:val="clear" w:color="auto" w:fill="FFFFFF"/>
        <w:suppressAutoHyphens/>
        <w:spacing w:after="0" w:line="240" w:lineRule="auto"/>
        <w:outlineLvl w:val="1"/>
        <w:rPr>
          <w:rFonts w:eastAsia="Times New Roman"/>
          <w:bCs/>
          <w:kern w:val="36"/>
          <w:sz w:val="24"/>
          <w:szCs w:val="24"/>
          <w:lang w:eastAsia="pt-BR"/>
        </w:rPr>
      </w:pPr>
    </w:p>
    <w:p w:rsidR="00C71C24" w:rsidRPr="00135CB1" w:rsidRDefault="00C71C24" w:rsidP="00C71C24">
      <w:pPr>
        <w:keepNext/>
        <w:keepLines/>
        <w:shd w:val="clear" w:color="auto" w:fill="FFFFFF"/>
        <w:suppressAutoHyphens/>
        <w:spacing w:after="0" w:line="240" w:lineRule="auto"/>
        <w:jc w:val="both"/>
        <w:outlineLvl w:val="1"/>
        <w:rPr>
          <w:rFonts w:eastAsia="Times New Roman"/>
          <w:bCs/>
          <w:kern w:val="36"/>
          <w:sz w:val="24"/>
          <w:szCs w:val="24"/>
          <w:lang w:eastAsia="pt-BR"/>
        </w:rPr>
      </w:pPr>
    </w:p>
    <w:p w:rsidR="00C71C24" w:rsidRDefault="00C71C24" w:rsidP="00C71C24">
      <w:pPr>
        <w:autoSpaceDE w:val="0"/>
        <w:autoSpaceDN w:val="0"/>
        <w:adjustRightInd w:val="0"/>
        <w:spacing w:after="200" w:line="360" w:lineRule="auto"/>
        <w:jc w:val="both"/>
        <w:rPr>
          <w:sz w:val="24"/>
          <w:szCs w:val="24"/>
        </w:rPr>
      </w:pPr>
      <w:r w:rsidRPr="00135CB1">
        <w:rPr>
          <w:rFonts w:eastAsia="Times New Roman"/>
          <w:bCs/>
          <w:kern w:val="36"/>
          <w:sz w:val="24"/>
          <w:szCs w:val="24"/>
          <w:lang w:eastAsia="pt-BR"/>
        </w:rPr>
        <w:t xml:space="preserve">Assunto: </w:t>
      </w:r>
      <w:r w:rsidRPr="00135CB1">
        <w:rPr>
          <w:rFonts w:eastAsia="Times New Roman"/>
          <w:b/>
          <w:bCs/>
          <w:kern w:val="36"/>
          <w:sz w:val="24"/>
          <w:szCs w:val="24"/>
          <w:lang w:eastAsia="pt-BR"/>
        </w:rPr>
        <w:t xml:space="preserve">Sugestão de </w:t>
      </w:r>
      <w:r w:rsidRPr="00BC04A2">
        <w:rPr>
          <w:b/>
          <w:sz w:val="24"/>
          <w:szCs w:val="24"/>
        </w:rPr>
        <w:t>acompanhamento de processos versando sobre tempo de serviço especial com base no agente ruído.</w:t>
      </w:r>
    </w:p>
    <w:p w:rsidR="00C71C24" w:rsidRDefault="00C71C24" w:rsidP="00C71C24">
      <w:pPr>
        <w:keepNext/>
        <w:keepLines/>
        <w:shd w:val="clear" w:color="auto" w:fill="FFFFFF"/>
        <w:suppressAutoHyphens/>
        <w:spacing w:after="0" w:line="240" w:lineRule="auto"/>
        <w:jc w:val="both"/>
        <w:outlineLvl w:val="1"/>
        <w:rPr>
          <w:rFonts w:eastAsia="Times New Roman"/>
          <w:b/>
          <w:sz w:val="24"/>
          <w:szCs w:val="24"/>
          <w:lang w:eastAsia="pt-BR"/>
        </w:rPr>
      </w:pPr>
    </w:p>
    <w:p w:rsidR="00C71C24" w:rsidRDefault="00C71C24" w:rsidP="00C71C24">
      <w:pPr>
        <w:keepNext/>
        <w:keepLines/>
        <w:shd w:val="clear" w:color="auto" w:fill="FFFFFF"/>
        <w:suppressAutoHyphens/>
        <w:spacing w:after="0" w:line="240" w:lineRule="auto"/>
        <w:jc w:val="both"/>
        <w:outlineLvl w:val="1"/>
        <w:rPr>
          <w:rFonts w:eastAsia="Times New Roman"/>
          <w:b/>
          <w:bCs/>
          <w:kern w:val="36"/>
          <w:sz w:val="24"/>
          <w:szCs w:val="24"/>
          <w:lang w:eastAsia="pt-BR"/>
        </w:rPr>
      </w:pPr>
    </w:p>
    <w:p w:rsidR="00C71C24" w:rsidRPr="00135CB1" w:rsidRDefault="00C71C24" w:rsidP="00C71C24">
      <w:pPr>
        <w:keepNext/>
        <w:keepLines/>
        <w:shd w:val="clear" w:color="auto" w:fill="FFFFFF"/>
        <w:suppressAutoHyphens/>
        <w:spacing w:after="0" w:line="240" w:lineRule="auto"/>
        <w:jc w:val="both"/>
        <w:outlineLvl w:val="1"/>
        <w:rPr>
          <w:rFonts w:eastAsia="Times New Roman"/>
          <w:b/>
          <w:bCs/>
          <w:kern w:val="36"/>
          <w:sz w:val="24"/>
          <w:szCs w:val="24"/>
          <w:lang w:eastAsia="pt-BR"/>
        </w:rPr>
      </w:pPr>
      <w:r w:rsidRPr="00135CB1">
        <w:rPr>
          <w:rFonts w:eastAsia="Times New Roman"/>
          <w:bCs/>
          <w:kern w:val="36"/>
          <w:sz w:val="24"/>
          <w:szCs w:val="24"/>
          <w:lang w:eastAsia="pt-BR"/>
        </w:rPr>
        <w:t>Relatora:</w:t>
      </w:r>
      <w:r>
        <w:rPr>
          <w:rFonts w:eastAsia="Times New Roman"/>
          <w:b/>
          <w:bCs/>
          <w:kern w:val="36"/>
          <w:sz w:val="24"/>
          <w:szCs w:val="24"/>
          <w:lang w:eastAsia="pt-BR"/>
        </w:rPr>
        <w:t xml:space="preserve"> Márcia Maria Nunes de Barros</w:t>
      </w:r>
    </w:p>
    <w:p w:rsidR="00B945C7" w:rsidRDefault="00B945C7" w:rsidP="009C166B">
      <w:pPr>
        <w:autoSpaceDE w:val="0"/>
        <w:autoSpaceDN w:val="0"/>
        <w:adjustRightInd w:val="0"/>
        <w:spacing w:after="200" w:line="360" w:lineRule="auto"/>
        <w:jc w:val="both"/>
        <w:rPr>
          <w:b/>
          <w:sz w:val="24"/>
          <w:szCs w:val="24"/>
        </w:rPr>
      </w:pPr>
    </w:p>
    <w:p w:rsidR="000C0568" w:rsidRPr="009C166B" w:rsidRDefault="000C0568" w:rsidP="009C166B">
      <w:pPr>
        <w:autoSpaceDE w:val="0"/>
        <w:autoSpaceDN w:val="0"/>
        <w:adjustRightInd w:val="0"/>
        <w:spacing w:after="200" w:line="360" w:lineRule="auto"/>
        <w:jc w:val="both"/>
        <w:rPr>
          <w:b/>
          <w:sz w:val="24"/>
          <w:szCs w:val="24"/>
        </w:rPr>
      </w:pPr>
      <w:r w:rsidRPr="009C166B">
        <w:rPr>
          <w:b/>
          <w:sz w:val="24"/>
          <w:szCs w:val="24"/>
        </w:rPr>
        <w:t>RELATÓRIO</w:t>
      </w:r>
      <w:bookmarkStart w:id="0" w:name="_GoBack"/>
      <w:bookmarkEnd w:id="0"/>
    </w:p>
    <w:p w:rsidR="000C0568" w:rsidRDefault="000C0568" w:rsidP="009C166B">
      <w:pPr>
        <w:autoSpaceDE w:val="0"/>
        <w:autoSpaceDN w:val="0"/>
        <w:adjustRightInd w:val="0"/>
        <w:spacing w:after="200" w:line="360" w:lineRule="auto"/>
        <w:jc w:val="both"/>
        <w:rPr>
          <w:sz w:val="24"/>
          <w:szCs w:val="24"/>
        </w:rPr>
      </w:pPr>
      <w:r w:rsidRPr="00C71C24">
        <w:rPr>
          <w:sz w:val="24"/>
          <w:szCs w:val="24"/>
        </w:rPr>
        <w:t>01.</w:t>
      </w:r>
      <w:r>
        <w:rPr>
          <w:b/>
          <w:sz w:val="24"/>
          <w:szCs w:val="24"/>
        </w:rPr>
        <w:tab/>
      </w:r>
      <w:r>
        <w:rPr>
          <w:b/>
          <w:sz w:val="24"/>
          <w:szCs w:val="24"/>
        </w:rPr>
        <w:tab/>
      </w:r>
      <w:r>
        <w:rPr>
          <w:sz w:val="24"/>
          <w:szCs w:val="24"/>
        </w:rPr>
        <w:t>Cuida-se de Nota Técnica referente ao Tema cujo objeto consiste no acompanhamento de processos versando sobre tempo de serviço especial com base no agente ruído.</w:t>
      </w:r>
    </w:p>
    <w:p w:rsidR="000C0568" w:rsidRDefault="000C0568" w:rsidP="009C166B">
      <w:pPr>
        <w:autoSpaceDE w:val="0"/>
        <w:autoSpaceDN w:val="0"/>
        <w:adjustRightInd w:val="0"/>
        <w:spacing w:after="200" w:line="360" w:lineRule="auto"/>
        <w:jc w:val="both"/>
        <w:rPr>
          <w:sz w:val="24"/>
          <w:szCs w:val="24"/>
        </w:rPr>
      </w:pPr>
    </w:p>
    <w:p w:rsidR="000C0568" w:rsidRPr="000C0568" w:rsidRDefault="009C166B" w:rsidP="009C166B">
      <w:pPr>
        <w:autoSpaceDE w:val="0"/>
        <w:autoSpaceDN w:val="0"/>
        <w:adjustRightInd w:val="0"/>
        <w:spacing w:after="200" w:line="360" w:lineRule="auto"/>
        <w:jc w:val="both"/>
        <w:rPr>
          <w:b/>
          <w:sz w:val="24"/>
          <w:szCs w:val="24"/>
        </w:rPr>
      </w:pPr>
      <w:r>
        <w:rPr>
          <w:b/>
          <w:sz w:val="24"/>
          <w:szCs w:val="24"/>
        </w:rPr>
        <w:t>JUSTIFICATIVA</w:t>
      </w:r>
    </w:p>
    <w:p w:rsidR="00BA2CEC" w:rsidRDefault="000C0568" w:rsidP="00BA2CEC">
      <w:pPr>
        <w:autoSpaceDE w:val="0"/>
        <w:autoSpaceDN w:val="0"/>
        <w:adjustRightInd w:val="0"/>
        <w:spacing w:after="200" w:line="360" w:lineRule="auto"/>
        <w:jc w:val="both"/>
        <w:rPr>
          <w:sz w:val="24"/>
          <w:szCs w:val="24"/>
        </w:rPr>
      </w:pPr>
      <w:r>
        <w:rPr>
          <w:sz w:val="24"/>
          <w:szCs w:val="24"/>
        </w:rPr>
        <w:t>02.</w:t>
      </w:r>
      <w:r>
        <w:rPr>
          <w:sz w:val="24"/>
          <w:szCs w:val="24"/>
        </w:rPr>
        <w:tab/>
      </w:r>
      <w:r>
        <w:rPr>
          <w:sz w:val="24"/>
          <w:szCs w:val="24"/>
        </w:rPr>
        <w:tab/>
        <w:t xml:space="preserve">A aprovação do </w:t>
      </w:r>
      <w:r w:rsidRPr="00BA2CEC">
        <w:rPr>
          <w:sz w:val="24"/>
          <w:szCs w:val="24"/>
        </w:rPr>
        <w:t xml:space="preserve">tema pelo Grupo Operacional foi motivada pela constatação de que a especialização de tempo de serviço com base no agente ruído ainda é objeto de controvérsias na jurisprudência, tendo sido </w:t>
      </w:r>
      <w:r w:rsidR="00BA2CEC" w:rsidRPr="00BA2CEC">
        <w:rPr>
          <w:sz w:val="24"/>
          <w:szCs w:val="24"/>
        </w:rPr>
        <w:t xml:space="preserve">verificada a possibilidade de divergência entre dois </w:t>
      </w:r>
      <w:r w:rsidR="004705F6" w:rsidRPr="00BA2CEC">
        <w:rPr>
          <w:sz w:val="24"/>
          <w:szCs w:val="24"/>
        </w:rPr>
        <w:t>recursos es</w:t>
      </w:r>
      <w:r w:rsidR="00BA2CEC" w:rsidRPr="00BA2CEC">
        <w:rPr>
          <w:sz w:val="24"/>
          <w:szCs w:val="24"/>
        </w:rPr>
        <w:t xml:space="preserve">peciais representativos de controvérsia, julgados pela sistemática do art. 543-C do CPC/1973, </w:t>
      </w:r>
      <w:r w:rsidRPr="00BA2CEC">
        <w:rPr>
          <w:sz w:val="24"/>
          <w:szCs w:val="24"/>
        </w:rPr>
        <w:t>como será exposto a seguir.</w:t>
      </w:r>
    </w:p>
    <w:p w:rsidR="009C166B" w:rsidRDefault="009C166B" w:rsidP="009C166B">
      <w:pPr>
        <w:autoSpaceDE w:val="0"/>
        <w:autoSpaceDN w:val="0"/>
        <w:adjustRightInd w:val="0"/>
        <w:spacing w:after="200" w:line="360" w:lineRule="auto"/>
        <w:jc w:val="both"/>
        <w:rPr>
          <w:sz w:val="24"/>
          <w:szCs w:val="24"/>
        </w:rPr>
      </w:pPr>
    </w:p>
    <w:p w:rsidR="009C166B" w:rsidRPr="009C166B" w:rsidRDefault="009C166B" w:rsidP="009C166B">
      <w:pPr>
        <w:autoSpaceDE w:val="0"/>
        <w:autoSpaceDN w:val="0"/>
        <w:adjustRightInd w:val="0"/>
        <w:spacing w:after="200" w:line="360" w:lineRule="auto"/>
        <w:jc w:val="both"/>
        <w:rPr>
          <w:b/>
          <w:sz w:val="24"/>
          <w:szCs w:val="24"/>
        </w:rPr>
      </w:pPr>
      <w:r w:rsidRPr="009C166B">
        <w:rPr>
          <w:b/>
          <w:sz w:val="24"/>
          <w:szCs w:val="24"/>
        </w:rPr>
        <w:t>FUNDAMENTAÇÃO</w:t>
      </w:r>
    </w:p>
    <w:p w:rsidR="009C166B" w:rsidRDefault="009C166B" w:rsidP="009C166B">
      <w:pPr>
        <w:autoSpaceDE w:val="0"/>
        <w:autoSpaceDN w:val="0"/>
        <w:adjustRightInd w:val="0"/>
        <w:spacing w:after="200" w:line="360" w:lineRule="auto"/>
        <w:jc w:val="both"/>
        <w:rPr>
          <w:b/>
          <w:sz w:val="24"/>
          <w:szCs w:val="24"/>
        </w:rPr>
      </w:pPr>
      <w:r>
        <w:rPr>
          <w:sz w:val="24"/>
          <w:szCs w:val="24"/>
        </w:rPr>
        <w:t>03.</w:t>
      </w:r>
      <w:r>
        <w:rPr>
          <w:sz w:val="24"/>
          <w:szCs w:val="24"/>
        </w:rPr>
        <w:tab/>
      </w:r>
      <w:r>
        <w:rPr>
          <w:sz w:val="24"/>
          <w:szCs w:val="24"/>
        </w:rPr>
        <w:tab/>
      </w:r>
      <w:r>
        <w:rPr>
          <w:b/>
          <w:sz w:val="24"/>
          <w:szCs w:val="24"/>
        </w:rPr>
        <w:t>Reconhecimento de Tempo de Serviço Especial</w:t>
      </w:r>
    </w:p>
    <w:p w:rsidR="0016620A" w:rsidRDefault="009C166B" w:rsidP="009C166B">
      <w:pPr>
        <w:autoSpaceDE w:val="0"/>
        <w:autoSpaceDN w:val="0"/>
        <w:adjustRightInd w:val="0"/>
        <w:spacing w:after="200" w:line="360" w:lineRule="auto"/>
        <w:jc w:val="both"/>
        <w:rPr>
          <w:sz w:val="24"/>
          <w:szCs w:val="24"/>
        </w:rPr>
      </w:pPr>
      <w:r>
        <w:rPr>
          <w:sz w:val="24"/>
          <w:szCs w:val="24"/>
        </w:rPr>
        <w:lastRenderedPageBreak/>
        <w:t>04.</w:t>
      </w:r>
      <w:r>
        <w:rPr>
          <w:sz w:val="24"/>
          <w:szCs w:val="24"/>
        </w:rPr>
        <w:tab/>
      </w:r>
      <w:r>
        <w:rPr>
          <w:sz w:val="24"/>
          <w:szCs w:val="24"/>
        </w:rPr>
        <w:tab/>
      </w:r>
      <w:r w:rsidR="0016620A" w:rsidRPr="000C0568">
        <w:rPr>
          <w:sz w:val="24"/>
          <w:szCs w:val="24"/>
        </w:rPr>
        <w:t>A aposentadoria especial, nos termos do art.</w:t>
      </w:r>
      <w:r w:rsidR="00544B0D">
        <w:rPr>
          <w:sz w:val="24"/>
          <w:szCs w:val="24"/>
        </w:rPr>
        <w:t xml:space="preserve"> </w:t>
      </w:r>
      <w:r w:rsidR="0016620A" w:rsidRPr="000C0568">
        <w:rPr>
          <w:sz w:val="24"/>
          <w:szCs w:val="24"/>
        </w:rPr>
        <w:t>57 da Lei n</w:t>
      </w:r>
      <w:r w:rsidR="00CB0F41" w:rsidRPr="000C0568">
        <w:rPr>
          <w:sz w:val="24"/>
          <w:szCs w:val="24"/>
        </w:rPr>
        <w:t>.</w:t>
      </w:r>
      <w:r w:rsidR="0016620A" w:rsidRPr="000C0568">
        <w:rPr>
          <w:sz w:val="24"/>
          <w:szCs w:val="24"/>
        </w:rPr>
        <w:t xml:space="preserve"> 8.213, de 24/7/1991, deve ser concedida ao segurado</w:t>
      </w:r>
      <w:r>
        <w:rPr>
          <w:sz w:val="24"/>
          <w:szCs w:val="24"/>
        </w:rPr>
        <w:t xml:space="preserve"> ou à segurada</w:t>
      </w:r>
      <w:r w:rsidR="0016620A" w:rsidRPr="000C0568">
        <w:rPr>
          <w:sz w:val="24"/>
          <w:szCs w:val="24"/>
        </w:rPr>
        <w:t xml:space="preserve"> que, tendo cumprido o período de carência, trabalhou sujeito</w:t>
      </w:r>
      <w:r w:rsidR="00544B0D">
        <w:rPr>
          <w:sz w:val="24"/>
          <w:szCs w:val="24"/>
        </w:rPr>
        <w:t xml:space="preserve"> </w:t>
      </w:r>
      <w:r>
        <w:rPr>
          <w:sz w:val="24"/>
          <w:szCs w:val="24"/>
        </w:rPr>
        <w:t>(a)</w:t>
      </w:r>
      <w:r w:rsidR="0016620A" w:rsidRPr="000C0568">
        <w:rPr>
          <w:sz w:val="24"/>
          <w:szCs w:val="24"/>
        </w:rPr>
        <w:t xml:space="preserve"> a condições que prejudi</w:t>
      </w:r>
      <w:r w:rsidR="00544B0D">
        <w:rPr>
          <w:sz w:val="24"/>
          <w:szCs w:val="24"/>
        </w:rPr>
        <w:t>caram</w:t>
      </w:r>
      <w:r w:rsidR="0016620A" w:rsidRPr="000C0568">
        <w:rPr>
          <w:sz w:val="24"/>
          <w:szCs w:val="24"/>
        </w:rPr>
        <w:t xml:space="preserve"> a sua saúde ou integridade física, por um período de 15, 20 ou 25 anos, dependendo da atividade exercida.</w:t>
      </w:r>
    </w:p>
    <w:p w:rsidR="0016620A" w:rsidRDefault="009C166B" w:rsidP="009C166B">
      <w:pPr>
        <w:autoSpaceDE w:val="0"/>
        <w:autoSpaceDN w:val="0"/>
        <w:adjustRightInd w:val="0"/>
        <w:spacing w:after="200" w:line="360" w:lineRule="auto"/>
        <w:jc w:val="both"/>
        <w:rPr>
          <w:sz w:val="24"/>
          <w:szCs w:val="24"/>
        </w:rPr>
      </w:pPr>
      <w:r>
        <w:rPr>
          <w:sz w:val="24"/>
          <w:szCs w:val="24"/>
        </w:rPr>
        <w:t xml:space="preserve">05. </w:t>
      </w:r>
      <w:r>
        <w:rPr>
          <w:sz w:val="24"/>
          <w:szCs w:val="24"/>
        </w:rPr>
        <w:tab/>
      </w:r>
      <w:r>
        <w:rPr>
          <w:sz w:val="24"/>
          <w:szCs w:val="24"/>
        </w:rPr>
        <w:tab/>
      </w:r>
      <w:r w:rsidR="00CB0F41" w:rsidRPr="000C0568">
        <w:rPr>
          <w:sz w:val="24"/>
          <w:szCs w:val="24"/>
        </w:rPr>
        <w:t xml:space="preserve">No decorrer dos anos, a </w:t>
      </w:r>
      <w:r w:rsidR="0016620A" w:rsidRPr="000C0568">
        <w:rPr>
          <w:sz w:val="24"/>
          <w:szCs w:val="24"/>
        </w:rPr>
        <w:t>legislação e a regulamentação referentes ao Regime Geral da Previdência Social passa</w:t>
      </w:r>
      <w:r w:rsidR="00CB0F41" w:rsidRPr="000C0568">
        <w:rPr>
          <w:sz w:val="24"/>
          <w:szCs w:val="24"/>
        </w:rPr>
        <w:t>ra</w:t>
      </w:r>
      <w:r w:rsidR="0016620A" w:rsidRPr="000C0568">
        <w:rPr>
          <w:sz w:val="24"/>
          <w:szCs w:val="24"/>
        </w:rPr>
        <w:t>m por alterações frequentes no que toca à comprovação e caracterização das atividades especiais.</w:t>
      </w:r>
    </w:p>
    <w:p w:rsidR="0016620A" w:rsidRDefault="009C166B" w:rsidP="009C166B">
      <w:pPr>
        <w:autoSpaceDE w:val="0"/>
        <w:autoSpaceDN w:val="0"/>
        <w:adjustRightInd w:val="0"/>
        <w:spacing w:after="200" w:line="360" w:lineRule="auto"/>
        <w:jc w:val="both"/>
        <w:rPr>
          <w:sz w:val="24"/>
          <w:szCs w:val="24"/>
        </w:rPr>
      </w:pPr>
      <w:r>
        <w:rPr>
          <w:sz w:val="24"/>
          <w:szCs w:val="24"/>
        </w:rPr>
        <w:t>06.</w:t>
      </w:r>
      <w:r>
        <w:rPr>
          <w:sz w:val="24"/>
          <w:szCs w:val="24"/>
        </w:rPr>
        <w:tab/>
      </w:r>
      <w:r>
        <w:rPr>
          <w:sz w:val="24"/>
          <w:szCs w:val="24"/>
        </w:rPr>
        <w:tab/>
      </w:r>
      <w:r w:rsidR="00CB0F41" w:rsidRPr="000C0568">
        <w:rPr>
          <w:sz w:val="24"/>
          <w:szCs w:val="24"/>
        </w:rPr>
        <w:t>O</w:t>
      </w:r>
      <w:r w:rsidR="0016620A" w:rsidRPr="000C0568">
        <w:rPr>
          <w:sz w:val="24"/>
          <w:szCs w:val="24"/>
        </w:rPr>
        <w:t xml:space="preserve"> </w:t>
      </w:r>
      <w:proofErr w:type="spellStart"/>
      <w:r w:rsidR="00544B0D">
        <w:rPr>
          <w:sz w:val="24"/>
          <w:szCs w:val="24"/>
        </w:rPr>
        <w:t>eg</w:t>
      </w:r>
      <w:proofErr w:type="spellEnd"/>
      <w:r w:rsidR="0016620A" w:rsidRPr="000C0568">
        <w:rPr>
          <w:sz w:val="24"/>
          <w:szCs w:val="24"/>
        </w:rPr>
        <w:t xml:space="preserve">. Superior Tribunal de Justiça há muito consolidou entendimento segundo o qual a caracterização e a comprovação da especialidade devem observar a égide da legislação vigente à época do exercício da atividade assim considerada (nesse sentido o seguinte acórdão repetitivo do </w:t>
      </w:r>
      <w:r w:rsidR="00482168">
        <w:rPr>
          <w:sz w:val="24"/>
          <w:szCs w:val="24"/>
        </w:rPr>
        <w:t>col</w:t>
      </w:r>
      <w:r w:rsidR="0016620A" w:rsidRPr="000C0568">
        <w:rPr>
          <w:sz w:val="24"/>
          <w:szCs w:val="24"/>
        </w:rPr>
        <w:t xml:space="preserve">. STJ: </w:t>
      </w:r>
      <w:proofErr w:type="spellStart"/>
      <w:r w:rsidR="0016620A" w:rsidRPr="000C0568">
        <w:rPr>
          <w:sz w:val="24"/>
          <w:szCs w:val="24"/>
        </w:rPr>
        <w:t>REsp</w:t>
      </w:r>
      <w:proofErr w:type="spellEnd"/>
      <w:r w:rsidR="0016620A" w:rsidRPr="000C0568">
        <w:rPr>
          <w:sz w:val="24"/>
          <w:szCs w:val="24"/>
        </w:rPr>
        <w:t xml:space="preserve"> 1</w:t>
      </w:r>
      <w:r w:rsidR="00482168">
        <w:rPr>
          <w:sz w:val="24"/>
          <w:szCs w:val="24"/>
        </w:rPr>
        <w:t>.</w:t>
      </w:r>
      <w:r w:rsidR="0016620A" w:rsidRPr="000C0568">
        <w:rPr>
          <w:sz w:val="24"/>
          <w:szCs w:val="24"/>
        </w:rPr>
        <w:t>151</w:t>
      </w:r>
      <w:r w:rsidR="00482168">
        <w:rPr>
          <w:sz w:val="24"/>
          <w:szCs w:val="24"/>
        </w:rPr>
        <w:t>.</w:t>
      </w:r>
      <w:r w:rsidR="0016620A" w:rsidRPr="000C0568">
        <w:rPr>
          <w:sz w:val="24"/>
          <w:szCs w:val="24"/>
        </w:rPr>
        <w:t xml:space="preserve">363/MG, Rel. Min. Jorge </w:t>
      </w:r>
      <w:proofErr w:type="spellStart"/>
      <w:r w:rsidR="0016620A" w:rsidRPr="000C0568">
        <w:rPr>
          <w:sz w:val="24"/>
          <w:szCs w:val="24"/>
        </w:rPr>
        <w:t>Mussi</w:t>
      </w:r>
      <w:proofErr w:type="spellEnd"/>
      <w:r w:rsidR="0016620A" w:rsidRPr="000C0568">
        <w:rPr>
          <w:sz w:val="24"/>
          <w:szCs w:val="24"/>
        </w:rPr>
        <w:t>, Terceira Seção, j.</w:t>
      </w:r>
      <w:r w:rsidR="00482168">
        <w:rPr>
          <w:sz w:val="24"/>
          <w:szCs w:val="24"/>
        </w:rPr>
        <w:t xml:space="preserve"> </w:t>
      </w:r>
      <w:r w:rsidR="0016620A" w:rsidRPr="000C0568">
        <w:rPr>
          <w:sz w:val="24"/>
          <w:szCs w:val="24"/>
        </w:rPr>
        <w:t xml:space="preserve">23/3/2011, </w:t>
      </w:r>
      <w:proofErr w:type="spellStart"/>
      <w:r w:rsidR="0016620A" w:rsidRPr="000C0568">
        <w:rPr>
          <w:sz w:val="24"/>
          <w:szCs w:val="24"/>
        </w:rPr>
        <w:t>DJe</w:t>
      </w:r>
      <w:proofErr w:type="spellEnd"/>
      <w:r w:rsidR="0016620A" w:rsidRPr="000C0568">
        <w:rPr>
          <w:sz w:val="24"/>
          <w:szCs w:val="24"/>
        </w:rPr>
        <w:t xml:space="preserve"> 5/4/2011).</w:t>
      </w:r>
    </w:p>
    <w:p w:rsidR="0016620A" w:rsidRDefault="009C166B" w:rsidP="009C166B">
      <w:pPr>
        <w:autoSpaceDE w:val="0"/>
        <w:autoSpaceDN w:val="0"/>
        <w:adjustRightInd w:val="0"/>
        <w:spacing w:after="200" w:line="360" w:lineRule="auto"/>
        <w:jc w:val="both"/>
        <w:rPr>
          <w:sz w:val="24"/>
          <w:szCs w:val="24"/>
        </w:rPr>
      </w:pPr>
      <w:r>
        <w:rPr>
          <w:sz w:val="24"/>
          <w:szCs w:val="24"/>
        </w:rPr>
        <w:t>07.</w:t>
      </w:r>
      <w:r>
        <w:rPr>
          <w:sz w:val="24"/>
          <w:szCs w:val="24"/>
        </w:rPr>
        <w:tab/>
      </w:r>
      <w:r>
        <w:rPr>
          <w:sz w:val="24"/>
          <w:szCs w:val="24"/>
        </w:rPr>
        <w:tab/>
      </w:r>
      <w:r w:rsidR="0016620A" w:rsidRPr="000C0568">
        <w:rPr>
          <w:sz w:val="24"/>
          <w:szCs w:val="24"/>
        </w:rPr>
        <w:t>O mencionado entendimento jurisprudencial funda-se no princípio do direito adquirido, constante do art.</w:t>
      </w:r>
      <w:r w:rsidR="006D3A37">
        <w:rPr>
          <w:sz w:val="24"/>
          <w:szCs w:val="24"/>
        </w:rPr>
        <w:t xml:space="preserve"> </w:t>
      </w:r>
      <w:r w:rsidR="0016620A" w:rsidRPr="000C0568">
        <w:rPr>
          <w:sz w:val="24"/>
          <w:szCs w:val="24"/>
        </w:rPr>
        <w:t>5°, inc</w:t>
      </w:r>
      <w:r w:rsidR="006D3A37">
        <w:rPr>
          <w:sz w:val="24"/>
          <w:szCs w:val="24"/>
        </w:rPr>
        <w:t>.</w:t>
      </w:r>
      <w:r w:rsidR="0016620A" w:rsidRPr="000C0568">
        <w:rPr>
          <w:sz w:val="24"/>
          <w:szCs w:val="24"/>
        </w:rPr>
        <w:t xml:space="preserve"> XXXVI, da Constituição da República, razão pela qual os direitos referentes à comprovação, ao enquadramento e à conversão de tempo especial, consolidados pelas normas vigentes à época do desempenho do trabalho, são incorporad</w:t>
      </w:r>
      <w:r w:rsidR="003954C2">
        <w:rPr>
          <w:sz w:val="24"/>
          <w:szCs w:val="24"/>
        </w:rPr>
        <w:t>o</w:t>
      </w:r>
      <w:r w:rsidR="0016620A" w:rsidRPr="000C0568">
        <w:rPr>
          <w:sz w:val="24"/>
          <w:szCs w:val="24"/>
        </w:rPr>
        <w:t>s ao patrimônio jurídico dos segurados, não se admitindo a retroação das normas que restrinjam tais direitos.</w:t>
      </w:r>
    </w:p>
    <w:p w:rsidR="0016620A" w:rsidRDefault="009C166B" w:rsidP="009C166B">
      <w:pPr>
        <w:autoSpaceDE w:val="0"/>
        <w:autoSpaceDN w:val="0"/>
        <w:adjustRightInd w:val="0"/>
        <w:spacing w:after="200" w:line="360" w:lineRule="auto"/>
        <w:jc w:val="both"/>
        <w:rPr>
          <w:sz w:val="24"/>
          <w:szCs w:val="24"/>
        </w:rPr>
      </w:pPr>
      <w:r>
        <w:rPr>
          <w:sz w:val="24"/>
          <w:szCs w:val="24"/>
        </w:rPr>
        <w:t>08.</w:t>
      </w:r>
      <w:r>
        <w:rPr>
          <w:sz w:val="24"/>
          <w:szCs w:val="24"/>
        </w:rPr>
        <w:tab/>
      </w:r>
      <w:r>
        <w:rPr>
          <w:sz w:val="24"/>
          <w:szCs w:val="24"/>
        </w:rPr>
        <w:tab/>
      </w:r>
      <w:r w:rsidR="0016620A" w:rsidRPr="000C0568">
        <w:rPr>
          <w:sz w:val="24"/>
          <w:szCs w:val="24"/>
        </w:rPr>
        <w:t>A presunção que sobressai das normas concernentes às atividades especiais é a de que o trabalhador que as exerceu teve um maior desgaste de sua saúde ou de sua integridade física, pelo que faria jus a se aposentar em tempo inferior em relação aos demais trabalhadores, que desempenharam atividades comuns, com o que se estará dando tratamento equânime a todos.</w:t>
      </w:r>
    </w:p>
    <w:p w:rsidR="0016620A" w:rsidRDefault="009C166B" w:rsidP="009C166B">
      <w:pPr>
        <w:autoSpaceDE w:val="0"/>
        <w:autoSpaceDN w:val="0"/>
        <w:adjustRightInd w:val="0"/>
        <w:spacing w:after="200" w:line="360" w:lineRule="auto"/>
        <w:jc w:val="both"/>
        <w:rPr>
          <w:sz w:val="24"/>
          <w:szCs w:val="24"/>
        </w:rPr>
      </w:pPr>
      <w:r>
        <w:rPr>
          <w:sz w:val="24"/>
          <w:szCs w:val="24"/>
        </w:rPr>
        <w:t>09.</w:t>
      </w:r>
      <w:r>
        <w:rPr>
          <w:sz w:val="24"/>
          <w:szCs w:val="24"/>
        </w:rPr>
        <w:tab/>
      </w:r>
      <w:r>
        <w:rPr>
          <w:sz w:val="24"/>
          <w:szCs w:val="24"/>
        </w:rPr>
        <w:tab/>
      </w:r>
      <w:r w:rsidR="0016620A" w:rsidRPr="000C0568">
        <w:rPr>
          <w:sz w:val="24"/>
          <w:szCs w:val="24"/>
        </w:rPr>
        <w:t xml:space="preserve">Frise-se que a ausência de custeio não impede o reconhecimento do caráter especial do tempo de contribuição, nos termos do art. 30, I, c/c </w:t>
      </w:r>
      <w:r w:rsidR="003954C2">
        <w:rPr>
          <w:sz w:val="24"/>
          <w:szCs w:val="24"/>
        </w:rPr>
        <w:t xml:space="preserve">o </w:t>
      </w:r>
      <w:r w:rsidR="0016620A" w:rsidRPr="000C0568">
        <w:rPr>
          <w:sz w:val="24"/>
          <w:szCs w:val="24"/>
        </w:rPr>
        <w:t xml:space="preserve">art. 43, § </w:t>
      </w:r>
      <w:r w:rsidR="0016620A" w:rsidRPr="000C0568">
        <w:rPr>
          <w:sz w:val="24"/>
          <w:szCs w:val="24"/>
        </w:rPr>
        <w:lastRenderedPageBreak/>
        <w:t xml:space="preserve">4º, da Lei </w:t>
      </w:r>
      <w:r w:rsidR="00CB0F41" w:rsidRPr="000C0568">
        <w:rPr>
          <w:sz w:val="24"/>
          <w:szCs w:val="24"/>
        </w:rPr>
        <w:t xml:space="preserve">n. </w:t>
      </w:r>
      <w:r w:rsidR="0016620A" w:rsidRPr="000C0568">
        <w:rPr>
          <w:sz w:val="24"/>
          <w:szCs w:val="24"/>
        </w:rPr>
        <w:t xml:space="preserve">8.212/1991 e art. 57, § 6º, da Lei </w:t>
      </w:r>
      <w:r w:rsidR="00CB0F41" w:rsidRPr="000C0568">
        <w:rPr>
          <w:sz w:val="24"/>
          <w:szCs w:val="24"/>
        </w:rPr>
        <w:t xml:space="preserve">n. </w:t>
      </w:r>
      <w:r w:rsidR="0016620A" w:rsidRPr="000C0568">
        <w:rPr>
          <w:sz w:val="24"/>
          <w:szCs w:val="24"/>
        </w:rPr>
        <w:t xml:space="preserve">8.213/1991, pois eventual ausência ou insuficiência do correto preenchimento da GFIP e do recolhimento da contribuição ao SAT são omissões de responsabilidade do empregador. Não pode o trabalhador ser penalizado pela falta do recolhimento ou por ele ter sido feito a menor, uma vez que a autarquia previdenciária possui meios próprios para receber seus créditos. (Nesse sentido: TRF1, AC 00611114620124013800, Rel. </w:t>
      </w:r>
      <w:proofErr w:type="spellStart"/>
      <w:r w:rsidR="0016620A" w:rsidRPr="000C0568">
        <w:rPr>
          <w:sz w:val="24"/>
          <w:szCs w:val="24"/>
        </w:rPr>
        <w:t>Des</w:t>
      </w:r>
      <w:r w:rsidR="003954C2">
        <w:rPr>
          <w:sz w:val="24"/>
          <w:szCs w:val="24"/>
        </w:rPr>
        <w:t>emb</w:t>
      </w:r>
      <w:proofErr w:type="spellEnd"/>
      <w:r w:rsidR="00381214">
        <w:rPr>
          <w:sz w:val="24"/>
          <w:szCs w:val="24"/>
        </w:rPr>
        <w:t>(</w:t>
      </w:r>
      <w:r w:rsidR="003954C2">
        <w:rPr>
          <w:sz w:val="24"/>
          <w:szCs w:val="24"/>
        </w:rPr>
        <w:t>a</w:t>
      </w:r>
      <w:r w:rsidR="00381214">
        <w:rPr>
          <w:sz w:val="24"/>
          <w:szCs w:val="24"/>
        </w:rPr>
        <w:t>)</w:t>
      </w:r>
      <w:r w:rsidR="0016620A" w:rsidRPr="000C0568">
        <w:rPr>
          <w:sz w:val="24"/>
          <w:szCs w:val="24"/>
        </w:rPr>
        <w:t>. Fed</w:t>
      </w:r>
      <w:r w:rsidR="003954C2">
        <w:rPr>
          <w:sz w:val="24"/>
          <w:szCs w:val="24"/>
        </w:rPr>
        <w:t>eral</w:t>
      </w:r>
      <w:r w:rsidR="0016620A" w:rsidRPr="000C0568">
        <w:rPr>
          <w:sz w:val="24"/>
          <w:szCs w:val="24"/>
        </w:rPr>
        <w:t xml:space="preserve"> Gilda Sigmaringa Seixas, Primeira Turma, j. 6/4/2016, e-DJF1 26/4/2016; TRF1, AC 00107730520114013800, Rel. Juiz Federal Gustavo Moreira </w:t>
      </w:r>
      <w:proofErr w:type="spellStart"/>
      <w:r w:rsidR="0016620A" w:rsidRPr="000C0568">
        <w:rPr>
          <w:sz w:val="24"/>
          <w:szCs w:val="24"/>
        </w:rPr>
        <w:t>Mazzili</w:t>
      </w:r>
      <w:proofErr w:type="spellEnd"/>
      <w:r w:rsidR="0016620A" w:rsidRPr="000C0568">
        <w:rPr>
          <w:sz w:val="24"/>
          <w:szCs w:val="24"/>
        </w:rPr>
        <w:t>, 1ª Câmara Regional Previdenciária de Minas Gerais, j. 29/2/2016, e-DJF1 5/4/2016).</w:t>
      </w:r>
    </w:p>
    <w:p w:rsidR="009C166B" w:rsidRDefault="009C166B" w:rsidP="009C166B">
      <w:pPr>
        <w:autoSpaceDE w:val="0"/>
        <w:autoSpaceDN w:val="0"/>
        <w:adjustRightInd w:val="0"/>
        <w:spacing w:after="200" w:line="360" w:lineRule="auto"/>
        <w:jc w:val="both"/>
        <w:rPr>
          <w:sz w:val="24"/>
          <w:szCs w:val="24"/>
        </w:rPr>
      </w:pPr>
      <w:r>
        <w:rPr>
          <w:sz w:val="24"/>
          <w:szCs w:val="24"/>
        </w:rPr>
        <w:t>10.</w:t>
      </w:r>
      <w:r>
        <w:rPr>
          <w:sz w:val="24"/>
          <w:szCs w:val="24"/>
        </w:rPr>
        <w:tab/>
      </w:r>
      <w:r>
        <w:rPr>
          <w:sz w:val="24"/>
          <w:szCs w:val="24"/>
        </w:rPr>
        <w:tab/>
      </w:r>
      <w:r>
        <w:rPr>
          <w:b/>
          <w:sz w:val="24"/>
          <w:szCs w:val="24"/>
        </w:rPr>
        <w:t>Comprovação de Atividade Especial</w:t>
      </w:r>
    </w:p>
    <w:p w:rsidR="0016620A" w:rsidRDefault="009C166B" w:rsidP="009C166B">
      <w:pPr>
        <w:autoSpaceDE w:val="0"/>
        <w:autoSpaceDN w:val="0"/>
        <w:adjustRightInd w:val="0"/>
        <w:spacing w:after="200" w:line="360" w:lineRule="auto"/>
        <w:jc w:val="both"/>
        <w:rPr>
          <w:sz w:val="24"/>
          <w:szCs w:val="24"/>
        </w:rPr>
      </w:pPr>
      <w:r>
        <w:rPr>
          <w:sz w:val="24"/>
          <w:szCs w:val="24"/>
        </w:rPr>
        <w:t>11.</w:t>
      </w:r>
      <w:r>
        <w:rPr>
          <w:sz w:val="24"/>
          <w:szCs w:val="24"/>
        </w:rPr>
        <w:tab/>
      </w:r>
      <w:r>
        <w:rPr>
          <w:sz w:val="24"/>
          <w:szCs w:val="24"/>
        </w:rPr>
        <w:tab/>
      </w:r>
      <w:r w:rsidR="0016620A" w:rsidRPr="000C0568">
        <w:rPr>
          <w:sz w:val="24"/>
          <w:szCs w:val="24"/>
        </w:rPr>
        <w:t xml:space="preserve">A especialidade dos agentes físicos ruído e calor, em qualquer época, segundo a jurisprudência pacífica do STJ e das Cortes Federais, sempre exigiu comprovação por meio de laudo técnico (nesse sentido: STJ, </w:t>
      </w:r>
      <w:proofErr w:type="spellStart"/>
      <w:r w:rsidR="0016620A" w:rsidRPr="000C0568">
        <w:rPr>
          <w:sz w:val="24"/>
          <w:szCs w:val="24"/>
        </w:rPr>
        <w:t>AgRg</w:t>
      </w:r>
      <w:proofErr w:type="spellEnd"/>
      <w:r w:rsidR="0016620A" w:rsidRPr="000C0568">
        <w:rPr>
          <w:sz w:val="24"/>
          <w:szCs w:val="24"/>
        </w:rPr>
        <w:t xml:space="preserve"> no </w:t>
      </w:r>
      <w:proofErr w:type="spellStart"/>
      <w:r w:rsidR="0016620A" w:rsidRPr="000C0568">
        <w:rPr>
          <w:sz w:val="24"/>
          <w:szCs w:val="24"/>
        </w:rPr>
        <w:t>AREsp</w:t>
      </w:r>
      <w:proofErr w:type="spellEnd"/>
      <w:r w:rsidR="0016620A" w:rsidRPr="000C0568">
        <w:rPr>
          <w:sz w:val="24"/>
          <w:szCs w:val="24"/>
        </w:rPr>
        <w:t xml:space="preserve"> 643</w:t>
      </w:r>
      <w:r w:rsidR="00136D89">
        <w:rPr>
          <w:sz w:val="24"/>
          <w:szCs w:val="24"/>
        </w:rPr>
        <w:t>.</w:t>
      </w:r>
      <w:r w:rsidR="0016620A" w:rsidRPr="000C0568">
        <w:rPr>
          <w:sz w:val="24"/>
          <w:szCs w:val="24"/>
        </w:rPr>
        <w:t>905/SP, Rel. Min. Humberto Martins, Segunda Turma, j.</w:t>
      </w:r>
      <w:r w:rsidR="00136D89">
        <w:rPr>
          <w:sz w:val="24"/>
          <w:szCs w:val="24"/>
        </w:rPr>
        <w:t xml:space="preserve"> </w:t>
      </w:r>
      <w:r w:rsidR="0016620A" w:rsidRPr="000C0568">
        <w:rPr>
          <w:sz w:val="24"/>
          <w:szCs w:val="24"/>
        </w:rPr>
        <w:t xml:space="preserve">20/8/2015, </w:t>
      </w:r>
      <w:proofErr w:type="spellStart"/>
      <w:r w:rsidR="0016620A" w:rsidRPr="000C0568">
        <w:rPr>
          <w:sz w:val="24"/>
          <w:szCs w:val="24"/>
        </w:rPr>
        <w:t>DJe</w:t>
      </w:r>
      <w:proofErr w:type="spellEnd"/>
      <w:r w:rsidR="0016620A" w:rsidRPr="000C0568">
        <w:rPr>
          <w:sz w:val="24"/>
          <w:szCs w:val="24"/>
        </w:rPr>
        <w:t xml:space="preserve"> 1</w:t>
      </w:r>
      <w:r w:rsidR="00136D89">
        <w:rPr>
          <w:sz w:val="24"/>
          <w:szCs w:val="24"/>
        </w:rPr>
        <w:t>º</w:t>
      </w:r>
      <w:r w:rsidR="0016620A" w:rsidRPr="000C0568">
        <w:rPr>
          <w:sz w:val="24"/>
          <w:szCs w:val="24"/>
        </w:rPr>
        <w:t>/9/2015).</w:t>
      </w:r>
    </w:p>
    <w:p w:rsidR="0016620A" w:rsidRDefault="009C166B" w:rsidP="009C166B">
      <w:pPr>
        <w:autoSpaceDE w:val="0"/>
        <w:autoSpaceDN w:val="0"/>
        <w:adjustRightInd w:val="0"/>
        <w:spacing w:after="200" w:line="360" w:lineRule="auto"/>
        <w:jc w:val="both"/>
        <w:rPr>
          <w:sz w:val="24"/>
          <w:szCs w:val="24"/>
        </w:rPr>
      </w:pPr>
      <w:r>
        <w:rPr>
          <w:sz w:val="24"/>
          <w:szCs w:val="24"/>
        </w:rPr>
        <w:t xml:space="preserve">12. </w:t>
      </w:r>
      <w:r>
        <w:rPr>
          <w:sz w:val="24"/>
          <w:szCs w:val="24"/>
        </w:rPr>
        <w:tab/>
      </w:r>
      <w:r>
        <w:rPr>
          <w:sz w:val="24"/>
          <w:szCs w:val="24"/>
        </w:rPr>
        <w:tab/>
      </w:r>
      <w:r w:rsidR="0016620A" w:rsidRPr="000C0568">
        <w:rPr>
          <w:sz w:val="24"/>
          <w:szCs w:val="24"/>
        </w:rPr>
        <w:t>No que diz respeito a outras atividades e/ou outros agentes que ensejam a especialização, devem ser observados três períodos de regência determinantes para fixar quais os meios de prova aptos à sua comprovação, conforme se verá nos tópicos seguintes.</w:t>
      </w:r>
    </w:p>
    <w:p w:rsidR="0016620A" w:rsidRDefault="009C166B" w:rsidP="009C166B">
      <w:pPr>
        <w:autoSpaceDE w:val="0"/>
        <w:autoSpaceDN w:val="0"/>
        <w:adjustRightInd w:val="0"/>
        <w:spacing w:after="200" w:line="360" w:lineRule="auto"/>
        <w:jc w:val="both"/>
        <w:rPr>
          <w:sz w:val="24"/>
          <w:szCs w:val="24"/>
        </w:rPr>
      </w:pPr>
      <w:r>
        <w:rPr>
          <w:sz w:val="24"/>
          <w:szCs w:val="24"/>
        </w:rPr>
        <w:t xml:space="preserve">13. </w:t>
      </w:r>
      <w:r>
        <w:rPr>
          <w:sz w:val="24"/>
          <w:szCs w:val="24"/>
        </w:rPr>
        <w:tab/>
      </w:r>
      <w:r>
        <w:rPr>
          <w:sz w:val="24"/>
          <w:szCs w:val="24"/>
        </w:rPr>
        <w:tab/>
      </w:r>
      <w:r w:rsidR="0016620A" w:rsidRPr="000C0568">
        <w:rPr>
          <w:sz w:val="24"/>
          <w:szCs w:val="24"/>
        </w:rPr>
        <w:t>A jurisprudência já fixou, no entanto, que não há necessidade de que os formulários e laudos periciais sejam contemporâneos aos períodos em que exercidas as atividades insalubres, ante a ausência de previsão legal (TRF2, AC 557521, Rel. Des</w:t>
      </w:r>
      <w:r w:rsidR="00994D5A">
        <w:rPr>
          <w:sz w:val="24"/>
          <w:szCs w:val="24"/>
        </w:rPr>
        <w:t>emb</w:t>
      </w:r>
      <w:r w:rsidR="0016620A" w:rsidRPr="000C0568">
        <w:rPr>
          <w:sz w:val="24"/>
          <w:szCs w:val="24"/>
        </w:rPr>
        <w:t>. Fed</w:t>
      </w:r>
      <w:r w:rsidR="00994D5A">
        <w:rPr>
          <w:sz w:val="24"/>
          <w:szCs w:val="24"/>
        </w:rPr>
        <w:t>eral</w:t>
      </w:r>
      <w:r w:rsidR="0016620A" w:rsidRPr="000C0568">
        <w:rPr>
          <w:sz w:val="24"/>
          <w:szCs w:val="24"/>
        </w:rPr>
        <w:t xml:space="preserve"> </w:t>
      </w:r>
      <w:proofErr w:type="spellStart"/>
      <w:r w:rsidR="0016620A" w:rsidRPr="000C0568">
        <w:rPr>
          <w:sz w:val="24"/>
          <w:szCs w:val="24"/>
        </w:rPr>
        <w:t>Messod</w:t>
      </w:r>
      <w:proofErr w:type="spellEnd"/>
      <w:r w:rsidR="0016620A" w:rsidRPr="000C0568">
        <w:rPr>
          <w:sz w:val="24"/>
          <w:szCs w:val="24"/>
        </w:rPr>
        <w:t xml:space="preserve"> Azulay Neto, Segunda Turma Especializada, j. 22/5/2013, E-DJF2R</w:t>
      </w:r>
      <w:r w:rsidR="00994D5A">
        <w:rPr>
          <w:sz w:val="24"/>
          <w:szCs w:val="24"/>
        </w:rPr>
        <w:t>,</w:t>
      </w:r>
      <w:r w:rsidR="0016620A" w:rsidRPr="000C0568">
        <w:rPr>
          <w:sz w:val="24"/>
          <w:szCs w:val="24"/>
        </w:rPr>
        <w:t xml:space="preserve"> de 4/6/2013).</w:t>
      </w:r>
    </w:p>
    <w:p w:rsidR="0016620A" w:rsidRDefault="009C166B" w:rsidP="009C166B">
      <w:pPr>
        <w:autoSpaceDE w:val="0"/>
        <w:autoSpaceDN w:val="0"/>
        <w:adjustRightInd w:val="0"/>
        <w:spacing w:after="200" w:line="360" w:lineRule="auto"/>
        <w:jc w:val="both"/>
        <w:rPr>
          <w:sz w:val="24"/>
          <w:szCs w:val="24"/>
        </w:rPr>
      </w:pPr>
      <w:r>
        <w:rPr>
          <w:sz w:val="24"/>
          <w:szCs w:val="24"/>
        </w:rPr>
        <w:t>14.</w:t>
      </w:r>
      <w:r>
        <w:rPr>
          <w:sz w:val="24"/>
          <w:szCs w:val="24"/>
        </w:rPr>
        <w:tab/>
      </w:r>
      <w:r>
        <w:rPr>
          <w:sz w:val="24"/>
          <w:szCs w:val="24"/>
        </w:rPr>
        <w:tab/>
      </w:r>
      <w:r w:rsidR="0016620A" w:rsidRPr="000C0568">
        <w:rPr>
          <w:sz w:val="24"/>
          <w:szCs w:val="24"/>
        </w:rPr>
        <w:t xml:space="preserve">De igual modo, não é necessário que a avaliação técnica seja realizada à época do trabalho desempenhado pelo </w:t>
      </w:r>
      <w:r w:rsidR="00CB0F41" w:rsidRPr="000C0568">
        <w:rPr>
          <w:sz w:val="24"/>
          <w:szCs w:val="24"/>
        </w:rPr>
        <w:t>segurado</w:t>
      </w:r>
      <w:r w:rsidR="0016620A" w:rsidRPr="000C0568">
        <w:rPr>
          <w:sz w:val="24"/>
          <w:szCs w:val="24"/>
        </w:rPr>
        <w:t xml:space="preserve">, dado que o avaliador, </w:t>
      </w:r>
      <w:r w:rsidR="0016620A" w:rsidRPr="000C0568">
        <w:rPr>
          <w:sz w:val="24"/>
          <w:szCs w:val="24"/>
        </w:rPr>
        <w:lastRenderedPageBreak/>
        <w:t>além de ter acesso ao histórico dos equipamentos e condições de trabalho da empresa, também pode se basear nas condições de trabalho da atualidade, que raramente são mais gravosas do que eram à época do trabalho desenvolvido no mesmo local.</w:t>
      </w:r>
    </w:p>
    <w:p w:rsidR="0016620A" w:rsidRDefault="009C166B" w:rsidP="009C166B">
      <w:pPr>
        <w:autoSpaceDE w:val="0"/>
        <w:autoSpaceDN w:val="0"/>
        <w:adjustRightInd w:val="0"/>
        <w:spacing w:after="200" w:line="360" w:lineRule="auto"/>
        <w:jc w:val="both"/>
        <w:rPr>
          <w:b/>
          <w:sz w:val="24"/>
          <w:szCs w:val="24"/>
        </w:rPr>
      </w:pPr>
      <w:r>
        <w:rPr>
          <w:sz w:val="24"/>
          <w:szCs w:val="24"/>
        </w:rPr>
        <w:t>15.</w:t>
      </w:r>
      <w:r>
        <w:rPr>
          <w:sz w:val="24"/>
          <w:szCs w:val="24"/>
        </w:rPr>
        <w:tab/>
      </w:r>
      <w:r>
        <w:rPr>
          <w:sz w:val="24"/>
          <w:szCs w:val="24"/>
        </w:rPr>
        <w:tab/>
      </w:r>
      <w:r w:rsidRPr="009C166B">
        <w:rPr>
          <w:b/>
          <w:sz w:val="24"/>
          <w:szCs w:val="24"/>
        </w:rPr>
        <w:t>a)</w:t>
      </w:r>
      <w:r w:rsidR="00CB0F41" w:rsidRPr="009C166B">
        <w:rPr>
          <w:b/>
          <w:sz w:val="24"/>
          <w:szCs w:val="24"/>
        </w:rPr>
        <w:t xml:space="preserve"> </w:t>
      </w:r>
      <w:r w:rsidR="0016620A" w:rsidRPr="009C166B">
        <w:rPr>
          <w:b/>
          <w:sz w:val="24"/>
          <w:szCs w:val="24"/>
        </w:rPr>
        <w:t>Período anterior a 29/4/1995</w:t>
      </w:r>
    </w:p>
    <w:p w:rsidR="0016620A" w:rsidRDefault="009C166B" w:rsidP="009C166B">
      <w:pPr>
        <w:autoSpaceDE w:val="0"/>
        <w:autoSpaceDN w:val="0"/>
        <w:adjustRightInd w:val="0"/>
        <w:spacing w:after="200" w:line="360" w:lineRule="auto"/>
        <w:jc w:val="both"/>
        <w:rPr>
          <w:sz w:val="24"/>
          <w:szCs w:val="24"/>
        </w:rPr>
      </w:pPr>
      <w:r>
        <w:rPr>
          <w:sz w:val="24"/>
          <w:szCs w:val="24"/>
        </w:rPr>
        <w:t>16.</w:t>
      </w:r>
      <w:r>
        <w:rPr>
          <w:sz w:val="24"/>
          <w:szCs w:val="24"/>
        </w:rPr>
        <w:tab/>
      </w:r>
      <w:r>
        <w:rPr>
          <w:sz w:val="24"/>
          <w:szCs w:val="24"/>
        </w:rPr>
        <w:tab/>
      </w:r>
      <w:r w:rsidR="0016620A" w:rsidRPr="000C0568">
        <w:rPr>
          <w:sz w:val="24"/>
          <w:szCs w:val="24"/>
        </w:rPr>
        <w:t>Até a vigência da Lei n</w:t>
      </w:r>
      <w:r w:rsidR="002F15A8">
        <w:rPr>
          <w:sz w:val="24"/>
          <w:szCs w:val="24"/>
        </w:rPr>
        <w:t>.</w:t>
      </w:r>
      <w:r w:rsidR="0016620A" w:rsidRPr="000C0568">
        <w:rPr>
          <w:sz w:val="24"/>
          <w:szCs w:val="24"/>
        </w:rPr>
        <w:t xml:space="preserve"> 9.032, de 28/4/1995 era possível o reconhecimento da especialidade das atividades apenas em face do enquadramento na categoria profissional do trabalhador, bastando comprovar que o segurado estivesse desempenhando atividade prevista nos anexos dos Decretos n</w:t>
      </w:r>
      <w:r w:rsidR="002F15A8">
        <w:rPr>
          <w:sz w:val="24"/>
          <w:szCs w:val="24"/>
        </w:rPr>
        <w:t>.</w:t>
      </w:r>
      <w:r w:rsidR="0016620A" w:rsidRPr="000C0568">
        <w:rPr>
          <w:sz w:val="24"/>
          <w:szCs w:val="24"/>
        </w:rPr>
        <w:t xml:space="preserve"> 53.831, de 25/3/1964 e 83.080, de 24/1/1979, por meio de qualquer prova idônea, sendo desnecessária a apresentação de formulários atestando a exposição a agentes agressivos. </w:t>
      </w:r>
    </w:p>
    <w:p w:rsidR="0016620A" w:rsidRDefault="009C166B" w:rsidP="009C166B">
      <w:pPr>
        <w:autoSpaceDE w:val="0"/>
        <w:autoSpaceDN w:val="0"/>
        <w:adjustRightInd w:val="0"/>
        <w:spacing w:after="200" w:line="360" w:lineRule="auto"/>
        <w:jc w:val="both"/>
        <w:rPr>
          <w:sz w:val="24"/>
          <w:szCs w:val="24"/>
        </w:rPr>
      </w:pPr>
      <w:r>
        <w:rPr>
          <w:sz w:val="24"/>
          <w:szCs w:val="24"/>
        </w:rPr>
        <w:t>17.</w:t>
      </w:r>
      <w:r>
        <w:rPr>
          <w:sz w:val="24"/>
          <w:szCs w:val="24"/>
        </w:rPr>
        <w:tab/>
      </w:r>
      <w:r>
        <w:rPr>
          <w:sz w:val="24"/>
          <w:szCs w:val="24"/>
        </w:rPr>
        <w:tab/>
      </w:r>
      <w:r w:rsidR="0016620A" w:rsidRPr="000C0568">
        <w:rPr>
          <w:sz w:val="24"/>
          <w:szCs w:val="24"/>
        </w:rPr>
        <w:t>A Instrução Normativa do INSS n</w:t>
      </w:r>
      <w:r w:rsidR="002F15A8">
        <w:rPr>
          <w:sz w:val="24"/>
          <w:szCs w:val="24"/>
        </w:rPr>
        <w:t>.</w:t>
      </w:r>
      <w:r w:rsidR="0016620A" w:rsidRPr="000C0568">
        <w:rPr>
          <w:sz w:val="24"/>
          <w:szCs w:val="24"/>
        </w:rPr>
        <w:t xml:space="preserve"> 77, de 21/1/2015, em seu art.</w:t>
      </w:r>
      <w:r w:rsidR="00B54A8B">
        <w:rPr>
          <w:sz w:val="24"/>
          <w:szCs w:val="24"/>
        </w:rPr>
        <w:t xml:space="preserve"> </w:t>
      </w:r>
      <w:r w:rsidR="0016620A" w:rsidRPr="000C0568">
        <w:rPr>
          <w:sz w:val="24"/>
          <w:szCs w:val="24"/>
        </w:rPr>
        <w:t>258, inc</w:t>
      </w:r>
      <w:r w:rsidR="006D3A37">
        <w:rPr>
          <w:sz w:val="24"/>
          <w:szCs w:val="24"/>
        </w:rPr>
        <w:t>.</w:t>
      </w:r>
      <w:r w:rsidR="0016620A" w:rsidRPr="000C0568">
        <w:rPr>
          <w:sz w:val="24"/>
          <w:szCs w:val="24"/>
        </w:rPr>
        <w:t xml:space="preserve"> I, admite como meios probatórios o formulário de reconhecimento de períodos laborados em condições especiais e a Carteira Profissional ou a Carteira de Trabalho e Previdência Social dos segurados em que haja anotação de atividade </w:t>
      </w:r>
      <w:proofErr w:type="spellStart"/>
      <w:r w:rsidR="0016620A" w:rsidRPr="000C0568">
        <w:rPr>
          <w:sz w:val="24"/>
          <w:szCs w:val="24"/>
        </w:rPr>
        <w:t>enquadrável</w:t>
      </w:r>
      <w:proofErr w:type="spellEnd"/>
      <w:r w:rsidR="0016620A" w:rsidRPr="000C0568">
        <w:rPr>
          <w:sz w:val="24"/>
          <w:szCs w:val="24"/>
        </w:rPr>
        <w:t>.</w:t>
      </w:r>
    </w:p>
    <w:p w:rsidR="0016620A" w:rsidRDefault="009C166B" w:rsidP="009C166B">
      <w:pPr>
        <w:autoSpaceDE w:val="0"/>
        <w:autoSpaceDN w:val="0"/>
        <w:adjustRightInd w:val="0"/>
        <w:spacing w:after="200" w:line="360" w:lineRule="auto"/>
        <w:jc w:val="both"/>
        <w:rPr>
          <w:sz w:val="24"/>
          <w:szCs w:val="24"/>
        </w:rPr>
      </w:pPr>
      <w:r>
        <w:rPr>
          <w:sz w:val="24"/>
          <w:szCs w:val="24"/>
        </w:rPr>
        <w:t>18.</w:t>
      </w:r>
      <w:r>
        <w:rPr>
          <w:sz w:val="24"/>
          <w:szCs w:val="24"/>
        </w:rPr>
        <w:tab/>
      </w:r>
      <w:r>
        <w:rPr>
          <w:sz w:val="24"/>
          <w:szCs w:val="24"/>
        </w:rPr>
        <w:tab/>
      </w:r>
      <w:r w:rsidR="0016620A" w:rsidRPr="000C0568">
        <w:rPr>
          <w:sz w:val="24"/>
          <w:szCs w:val="24"/>
        </w:rPr>
        <w:t xml:space="preserve">Por </w:t>
      </w:r>
      <w:proofErr w:type="spellStart"/>
      <w:r w:rsidR="0016620A" w:rsidRPr="000C0568">
        <w:rPr>
          <w:sz w:val="24"/>
          <w:szCs w:val="24"/>
        </w:rPr>
        <w:t>tal</w:t>
      </w:r>
      <w:proofErr w:type="spellEnd"/>
      <w:r w:rsidR="0016620A" w:rsidRPr="000C0568">
        <w:rPr>
          <w:sz w:val="24"/>
          <w:szCs w:val="24"/>
        </w:rPr>
        <w:t xml:space="preserve"> razão, tais documentos, bem como o CNIS, ou outro documento </w:t>
      </w:r>
      <w:r w:rsidR="00B54A8B">
        <w:rPr>
          <w:sz w:val="24"/>
          <w:szCs w:val="24"/>
        </w:rPr>
        <w:t>no qual</w:t>
      </w:r>
      <w:r w:rsidR="0016620A" w:rsidRPr="000C0568">
        <w:rPr>
          <w:sz w:val="24"/>
          <w:szCs w:val="24"/>
        </w:rPr>
        <w:t xml:space="preserve"> conste o código da atividade desempenhada pelo segurado na Classificação Brasileira de Ocupações – CBO, são aptos a comprovar o desempenho de atividade especial (no exame das provas </w:t>
      </w:r>
      <w:r>
        <w:rPr>
          <w:sz w:val="24"/>
          <w:szCs w:val="24"/>
        </w:rPr>
        <w:t>deverá ser</w:t>
      </w:r>
      <w:r w:rsidR="0016620A" w:rsidRPr="000C0568">
        <w:rPr>
          <w:sz w:val="24"/>
          <w:szCs w:val="24"/>
        </w:rPr>
        <w:t xml:space="preserve"> analisada a natureza do estabelecimento em que o segurado a exerceu).</w:t>
      </w:r>
    </w:p>
    <w:p w:rsidR="0016620A" w:rsidRDefault="009C166B" w:rsidP="009C166B">
      <w:pPr>
        <w:autoSpaceDE w:val="0"/>
        <w:autoSpaceDN w:val="0"/>
        <w:adjustRightInd w:val="0"/>
        <w:spacing w:after="200" w:line="360" w:lineRule="auto"/>
        <w:jc w:val="both"/>
        <w:rPr>
          <w:sz w:val="24"/>
          <w:szCs w:val="24"/>
        </w:rPr>
      </w:pPr>
      <w:r>
        <w:rPr>
          <w:sz w:val="24"/>
          <w:szCs w:val="24"/>
        </w:rPr>
        <w:t>19.</w:t>
      </w:r>
      <w:r>
        <w:rPr>
          <w:sz w:val="24"/>
          <w:szCs w:val="24"/>
        </w:rPr>
        <w:tab/>
      </w:r>
      <w:r>
        <w:rPr>
          <w:sz w:val="24"/>
          <w:szCs w:val="24"/>
        </w:rPr>
        <w:tab/>
      </w:r>
      <w:r w:rsidR="0016620A" w:rsidRPr="000C0568">
        <w:rPr>
          <w:sz w:val="24"/>
          <w:szCs w:val="24"/>
        </w:rPr>
        <w:t xml:space="preserve">Deve ser consignado que as informações contidas em CTPS gozam de presunção legal e veracidade </w:t>
      </w:r>
      <w:r w:rsidR="0016620A" w:rsidRPr="00B54A8B">
        <w:rPr>
          <w:i/>
          <w:sz w:val="24"/>
          <w:szCs w:val="24"/>
        </w:rPr>
        <w:t>juris tantum</w:t>
      </w:r>
      <w:r w:rsidR="0016620A" w:rsidRPr="000C0568">
        <w:rPr>
          <w:sz w:val="24"/>
          <w:szCs w:val="24"/>
        </w:rPr>
        <w:t xml:space="preserve"> (Enunciado n</w:t>
      </w:r>
      <w:r w:rsidR="00B54A8B">
        <w:rPr>
          <w:sz w:val="24"/>
          <w:szCs w:val="24"/>
        </w:rPr>
        <w:t>.</w:t>
      </w:r>
      <w:r w:rsidR="0016620A" w:rsidRPr="000C0568">
        <w:rPr>
          <w:sz w:val="24"/>
          <w:szCs w:val="24"/>
        </w:rPr>
        <w:t xml:space="preserve"> 12</w:t>
      </w:r>
      <w:r w:rsidR="00B54A8B">
        <w:rPr>
          <w:sz w:val="24"/>
          <w:szCs w:val="24"/>
        </w:rPr>
        <w:t>,</w:t>
      </w:r>
      <w:r w:rsidR="0016620A" w:rsidRPr="000C0568">
        <w:rPr>
          <w:sz w:val="24"/>
          <w:szCs w:val="24"/>
        </w:rPr>
        <w:t xml:space="preserve"> do TST), devendo prevalecer se não contestadas ou se provas em contrário não são apresentadas, consoante o art. 62, § 2º, inc</w:t>
      </w:r>
      <w:r w:rsidR="006D3A37">
        <w:rPr>
          <w:sz w:val="24"/>
          <w:szCs w:val="24"/>
        </w:rPr>
        <w:t>.</w:t>
      </w:r>
      <w:r w:rsidR="0016620A" w:rsidRPr="000C0568">
        <w:rPr>
          <w:sz w:val="24"/>
          <w:szCs w:val="24"/>
        </w:rPr>
        <w:t xml:space="preserve"> I, alínea “a”, do Decreto n</w:t>
      </w:r>
      <w:r w:rsidR="00B54A8B">
        <w:rPr>
          <w:sz w:val="24"/>
          <w:szCs w:val="24"/>
        </w:rPr>
        <w:t>.</w:t>
      </w:r>
      <w:r w:rsidR="0016620A" w:rsidRPr="000C0568">
        <w:rPr>
          <w:sz w:val="24"/>
          <w:szCs w:val="24"/>
        </w:rPr>
        <w:t xml:space="preserve"> 3.048, de 6/5/1999.</w:t>
      </w:r>
    </w:p>
    <w:p w:rsidR="0016620A" w:rsidRDefault="009C166B" w:rsidP="009C166B">
      <w:pPr>
        <w:autoSpaceDE w:val="0"/>
        <w:autoSpaceDN w:val="0"/>
        <w:adjustRightInd w:val="0"/>
        <w:spacing w:after="200" w:line="360" w:lineRule="auto"/>
        <w:jc w:val="both"/>
        <w:rPr>
          <w:sz w:val="24"/>
          <w:szCs w:val="24"/>
        </w:rPr>
      </w:pPr>
      <w:r>
        <w:rPr>
          <w:sz w:val="24"/>
          <w:szCs w:val="24"/>
        </w:rPr>
        <w:lastRenderedPageBreak/>
        <w:t>20.</w:t>
      </w:r>
      <w:r>
        <w:rPr>
          <w:sz w:val="24"/>
          <w:szCs w:val="24"/>
        </w:rPr>
        <w:tab/>
      </w:r>
      <w:r>
        <w:rPr>
          <w:sz w:val="24"/>
          <w:szCs w:val="24"/>
        </w:rPr>
        <w:tab/>
      </w:r>
      <w:r w:rsidR="0016620A" w:rsidRPr="000C0568">
        <w:rPr>
          <w:sz w:val="24"/>
          <w:szCs w:val="24"/>
        </w:rPr>
        <w:t>Ademais, não era exigido que o trabalhador estivesse sujeito de forma permanente aos agentes agressivos, bastando a comprovação de exposição aos agentes nocivos elencados nos Decretos n</w:t>
      </w:r>
      <w:r w:rsidR="00080A51">
        <w:rPr>
          <w:sz w:val="24"/>
          <w:szCs w:val="24"/>
        </w:rPr>
        <w:t>.</w:t>
      </w:r>
      <w:r w:rsidR="0016620A" w:rsidRPr="000C0568">
        <w:rPr>
          <w:sz w:val="24"/>
          <w:szCs w:val="24"/>
        </w:rPr>
        <w:t xml:space="preserve"> 53.831/64 e 83.080/79 (TRF2, AC 200751018132150, Rel. Des</w:t>
      </w:r>
      <w:r w:rsidR="00080A51">
        <w:rPr>
          <w:sz w:val="24"/>
          <w:szCs w:val="24"/>
        </w:rPr>
        <w:t>emb</w:t>
      </w:r>
      <w:r w:rsidR="0016620A" w:rsidRPr="000C0568">
        <w:rPr>
          <w:sz w:val="24"/>
          <w:szCs w:val="24"/>
        </w:rPr>
        <w:t>.</w:t>
      </w:r>
      <w:r w:rsidR="00CF0EA9">
        <w:rPr>
          <w:sz w:val="24"/>
          <w:szCs w:val="24"/>
        </w:rPr>
        <w:t xml:space="preserve"> </w:t>
      </w:r>
      <w:r w:rsidR="0016620A" w:rsidRPr="000C0568">
        <w:rPr>
          <w:sz w:val="24"/>
          <w:szCs w:val="24"/>
        </w:rPr>
        <w:t>Fed</w:t>
      </w:r>
      <w:r w:rsidR="00080A51">
        <w:rPr>
          <w:sz w:val="24"/>
          <w:szCs w:val="24"/>
        </w:rPr>
        <w:t>eral</w:t>
      </w:r>
      <w:r w:rsidR="0016620A" w:rsidRPr="000C0568">
        <w:rPr>
          <w:sz w:val="24"/>
          <w:szCs w:val="24"/>
        </w:rPr>
        <w:t xml:space="preserve"> Marcello Ferreira de Souza Granado, Primeira Turma Especializada, j. 29/6/2010, DJ 15/7/2010; TRF2, APELRE 200651015008903, Rel. </w:t>
      </w:r>
      <w:proofErr w:type="spellStart"/>
      <w:r w:rsidR="0016620A" w:rsidRPr="000C0568">
        <w:rPr>
          <w:sz w:val="24"/>
          <w:szCs w:val="24"/>
        </w:rPr>
        <w:t>Des</w:t>
      </w:r>
      <w:r w:rsidR="00080A51">
        <w:rPr>
          <w:sz w:val="24"/>
          <w:szCs w:val="24"/>
        </w:rPr>
        <w:t>emb</w:t>
      </w:r>
      <w:proofErr w:type="spellEnd"/>
      <w:r w:rsidR="00080A51">
        <w:rPr>
          <w:sz w:val="24"/>
          <w:szCs w:val="24"/>
        </w:rPr>
        <w:t>(a)</w:t>
      </w:r>
      <w:r w:rsidR="0016620A" w:rsidRPr="000C0568">
        <w:rPr>
          <w:sz w:val="24"/>
          <w:szCs w:val="24"/>
        </w:rPr>
        <w:t>. Fed</w:t>
      </w:r>
      <w:r w:rsidR="00080A51">
        <w:rPr>
          <w:sz w:val="24"/>
          <w:szCs w:val="24"/>
        </w:rPr>
        <w:t>eral</w:t>
      </w:r>
      <w:r w:rsidR="0016620A" w:rsidRPr="000C0568">
        <w:rPr>
          <w:sz w:val="24"/>
          <w:szCs w:val="24"/>
        </w:rPr>
        <w:t xml:space="preserve"> Liliane Roriz, Segunda Turma Especializada, j. 30/8/2012, DJ 6/9/2012).</w:t>
      </w:r>
    </w:p>
    <w:p w:rsidR="0016620A" w:rsidRDefault="009C166B" w:rsidP="009C166B">
      <w:pPr>
        <w:autoSpaceDE w:val="0"/>
        <w:autoSpaceDN w:val="0"/>
        <w:adjustRightInd w:val="0"/>
        <w:spacing w:after="200" w:line="360" w:lineRule="auto"/>
        <w:jc w:val="both"/>
        <w:rPr>
          <w:b/>
          <w:sz w:val="24"/>
          <w:szCs w:val="24"/>
        </w:rPr>
      </w:pPr>
      <w:r>
        <w:rPr>
          <w:sz w:val="24"/>
          <w:szCs w:val="24"/>
        </w:rPr>
        <w:t>21.</w:t>
      </w:r>
      <w:r>
        <w:rPr>
          <w:sz w:val="24"/>
          <w:szCs w:val="24"/>
        </w:rPr>
        <w:tab/>
      </w:r>
      <w:r>
        <w:rPr>
          <w:sz w:val="24"/>
          <w:szCs w:val="24"/>
        </w:rPr>
        <w:tab/>
      </w:r>
      <w:r>
        <w:rPr>
          <w:b/>
          <w:sz w:val="24"/>
          <w:szCs w:val="24"/>
        </w:rPr>
        <w:t xml:space="preserve">b) </w:t>
      </w:r>
      <w:r w:rsidR="0016620A" w:rsidRPr="009C166B">
        <w:rPr>
          <w:b/>
          <w:sz w:val="24"/>
          <w:szCs w:val="24"/>
        </w:rPr>
        <w:t>Período entre 29/4/1995 e 10/12/1997</w:t>
      </w:r>
    </w:p>
    <w:p w:rsidR="0016620A" w:rsidRDefault="009C166B" w:rsidP="009C166B">
      <w:pPr>
        <w:autoSpaceDE w:val="0"/>
        <w:autoSpaceDN w:val="0"/>
        <w:adjustRightInd w:val="0"/>
        <w:spacing w:after="200" w:line="360" w:lineRule="auto"/>
        <w:jc w:val="both"/>
        <w:rPr>
          <w:sz w:val="24"/>
          <w:szCs w:val="24"/>
        </w:rPr>
      </w:pPr>
      <w:r>
        <w:rPr>
          <w:sz w:val="24"/>
          <w:szCs w:val="24"/>
        </w:rPr>
        <w:t>22.</w:t>
      </w:r>
      <w:r>
        <w:rPr>
          <w:sz w:val="24"/>
          <w:szCs w:val="24"/>
        </w:rPr>
        <w:tab/>
      </w:r>
      <w:r>
        <w:rPr>
          <w:sz w:val="24"/>
          <w:szCs w:val="24"/>
        </w:rPr>
        <w:tab/>
      </w:r>
      <w:r w:rsidR="0016620A" w:rsidRPr="000C0568">
        <w:rPr>
          <w:sz w:val="24"/>
          <w:szCs w:val="24"/>
        </w:rPr>
        <w:t>No período compreendido entre a vigência da Lei n</w:t>
      </w:r>
      <w:r w:rsidR="00DD74C6">
        <w:rPr>
          <w:sz w:val="24"/>
          <w:szCs w:val="24"/>
        </w:rPr>
        <w:t>.</w:t>
      </w:r>
      <w:r w:rsidR="0016620A" w:rsidRPr="000C0568">
        <w:rPr>
          <w:sz w:val="24"/>
          <w:szCs w:val="24"/>
        </w:rPr>
        <w:t xml:space="preserve"> 9.032, de 28/4/1995, e a edição da Lei n</w:t>
      </w:r>
      <w:r w:rsidR="00DD74C6">
        <w:rPr>
          <w:sz w:val="24"/>
          <w:szCs w:val="24"/>
        </w:rPr>
        <w:t>.</w:t>
      </w:r>
      <w:r w:rsidR="0016620A" w:rsidRPr="000C0568">
        <w:rPr>
          <w:sz w:val="24"/>
          <w:szCs w:val="24"/>
        </w:rPr>
        <w:t xml:space="preserve"> 9.528, de 10/12/1997, em razão das alterações promovidas por este diploma no art.</w:t>
      </w:r>
      <w:r w:rsidR="00C71C24">
        <w:rPr>
          <w:sz w:val="24"/>
          <w:szCs w:val="24"/>
        </w:rPr>
        <w:t xml:space="preserve"> </w:t>
      </w:r>
      <w:r w:rsidR="0016620A" w:rsidRPr="000C0568">
        <w:rPr>
          <w:sz w:val="24"/>
          <w:szCs w:val="24"/>
        </w:rPr>
        <w:t>57, § 3º, da Lei n</w:t>
      </w:r>
      <w:r w:rsidR="00DD74C6">
        <w:rPr>
          <w:sz w:val="24"/>
          <w:szCs w:val="24"/>
        </w:rPr>
        <w:t>.</w:t>
      </w:r>
      <w:r w:rsidR="0016620A" w:rsidRPr="000C0568">
        <w:rPr>
          <w:sz w:val="24"/>
          <w:szCs w:val="24"/>
        </w:rPr>
        <w:t xml:space="preserve"> 8.213, de 24/7/1991, passou a ser exigida a efetiva comprovação de tempo de trabalho permanente, não ocasional nem intermitente, em condições especiais que prejudiquem a saúde ou a integridade física.</w:t>
      </w:r>
    </w:p>
    <w:p w:rsidR="0016620A" w:rsidRDefault="009C166B" w:rsidP="009C166B">
      <w:pPr>
        <w:autoSpaceDE w:val="0"/>
        <w:autoSpaceDN w:val="0"/>
        <w:adjustRightInd w:val="0"/>
        <w:spacing w:after="200" w:line="360" w:lineRule="auto"/>
        <w:jc w:val="both"/>
        <w:rPr>
          <w:sz w:val="24"/>
          <w:szCs w:val="24"/>
        </w:rPr>
      </w:pPr>
      <w:r>
        <w:rPr>
          <w:sz w:val="24"/>
          <w:szCs w:val="24"/>
        </w:rPr>
        <w:t>23.</w:t>
      </w:r>
      <w:r>
        <w:rPr>
          <w:sz w:val="24"/>
          <w:szCs w:val="24"/>
        </w:rPr>
        <w:tab/>
      </w:r>
      <w:r>
        <w:rPr>
          <w:sz w:val="24"/>
          <w:szCs w:val="24"/>
        </w:rPr>
        <w:tab/>
      </w:r>
      <w:r w:rsidR="0016620A" w:rsidRPr="000C0568">
        <w:rPr>
          <w:sz w:val="24"/>
          <w:szCs w:val="24"/>
        </w:rPr>
        <w:t>Como provas, são admitidos laudos técnicos e os formulários SB-40, DIESES.BE-5235, DSS-8030 e DIRBEN-8030.</w:t>
      </w:r>
    </w:p>
    <w:p w:rsidR="0016620A" w:rsidRDefault="009C166B" w:rsidP="009C166B">
      <w:pPr>
        <w:autoSpaceDE w:val="0"/>
        <w:autoSpaceDN w:val="0"/>
        <w:adjustRightInd w:val="0"/>
        <w:spacing w:after="200" w:line="360" w:lineRule="auto"/>
        <w:jc w:val="both"/>
        <w:rPr>
          <w:sz w:val="24"/>
          <w:szCs w:val="24"/>
        </w:rPr>
      </w:pPr>
      <w:r>
        <w:rPr>
          <w:sz w:val="24"/>
          <w:szCs w:val="24"/>
        </w:rPr>
        <w:t>24.</w:t>
      </w:r>
      <w:r>
        <w:rPr>
          <w:sz w:val="24"/>
          <w:szCs w:val="24"/>
        </w:rPr>
        <w:tab/>
      </w:r>
      <w:r>
        <w:rPr>
          <w:sz w:val="24"/>
          <w:szCs w:val="24"/>
        </w:rPr>
        <w:tab/>
      </w:r>
      <w:r w:rsidRPr="009C166B">
        <w:rPr>
          <w:b/>
          <w:sz w:val="24"/>
          <w:szCs w:val="24"/>
        </w:rPr>
        <w:t xml:space="preserve">c) </w:t>
      </w:r>
      <w:r w:rsidR="0016620A" w:rsidRPr="009C166B">
        <w:rPr>
          <w:b/>
          <w:sz w:val="24"/>
          <w:szCs w:val="24"/>
        </w:rPr>
        <w:t>Período de 11/12/1997 em diante</w:t>
      </w:r>
    </w:p>
    <w:p w:rsidR="0016620A" w:rsidRDefault="009C166B" w:rsidP="009C166B">
      <w:pPr>
        <w:autoSpaceDE w:val="0"/>
        <w:autoSpaceDN w:val="0"/>
        <w:adjustRightInd w:val="0"/>
        <w:spacing w:after="200" w:line="360" w:lineRule="auto"/>
        <w:jc w:val="both"/>
        <w:rPr>
          <w:sz w:val="24"/>
          <w:szCs w:val="24"/>
        </w:rPr>
      </w:pPr>
      <w:r>
        <w:rPr>
          <w:sz w:val="24"/>
          <w:szCs w:val="24"/>
        </w:rPr>
        <w:t>25.</w:t>
      </w:r>
      <w:r>
        <w:rPr>
          <w:sz w:val="24"/>
          <w:szCs w:val="24"/>
        </w:rPr>
        <w:tab/>
      </w:r>
      <w:r>
        <w:rPr>
          <w:sz w:val="24"/>
          <w:szCs w:val="24"/>
        </w:rPr>
        <w:tab/>
      </w:r>
      <w:r w:rsidR="0016620A" w:rsidRPr="000C0568">
        <w:rPr>
          <w:sz w:val="24"/>
          <w:szCs w:val="24"/>
        </w:rPr>
        <w:t>Com a entrada em vigor da Lei n</w:t>
      </w:r>
      <w:r w:rsidR="0049445F">
        <w:rPr>
          <w:sz w:val="24"/>
          <w:szCs w:val="24"/>
        </w:rPr>
        <w:t>.</w:t>
      </w:r>
      <w:r w:rsidR="0016620A" w:rsidRPr="000C0568">
        <w:rPr>
          <w:sz w:val="24"/>
          <w:szCs w:val="24"/>
        </w:rPr>
        <w:t xml:space="preserve"> 9.528, de 10/12/1997, que converteu em lei a Medida Provisória n</w:t>
      </w:r>
      <w:r w:rsidR="0049445F">
        <w:rPr>
          <w:sz w:val="24"/>
          <w:szCs w:val="24"/>
        </w:rPr>
        <w:t>.</w:t>
      </w:r>
      <w:r w:rsidR="0016620A" w:rsidRPr="000C0568">
        <w:rPr>
          <w:sz w:val="24"/>
          <w:szCs w:val="24"/>
        </w:rPr>
        <w:t xml:space="preserve"> 1.596-14, de 10/11/1997, foi incluído o § 1º ao art.</w:t>
      </w:r>
      <w:r w:rsidR="0049445F">
        <w:rPr>
          <w:sz w:val="24"/>
          <w:szCs w:val="24"/>
        </w:rPr>
        <w:t xml:space="preserve"> </w:t>
      </w:r>
      <w:r w:rsidR="0016620A" w:rsidRPr="000C0568">
        <w:rPr>
          <w:sz w:val="24"/>
          <w:szCs w:val="24"/>
        </w:rPr>
        <w:t>58 da Lei n</w:t>
      </w:r>
      <w:r w:rsidR="0049445F">
        <w:rPr>
          <w:sz w:val="24"/>
          <w:szCs w:val="24"/>
        </w:rPr>
        <w:t>.</w:t>
      </w:r>
      <w:r w:rsidR="0016620A" w:rsidRPr="000C0568">
        <w:rPr>
          <w:sz w:val="24"/>
          <w:szCs w:val="24"/>
        </w:rPr>
        <w:t xml:space="preserve"> 8.213, de 24/7/1991, que passou a exigir a comprovação por meio de formulário (Perfil Profissiográfico Previdenciário, nos termos do § 4º, também incluído ao art.</w:t>
      </w:r>
      <w:r w:rsidR="0049445F">
        <w:rPr>
          <w:sz w:val="24"/>
          <w:szCs w:val="24"/>
        </w:rPr>
        <w:t xml:space="preserve"> </w:t>
      </w:r>
      <w:r w:rsidR="0016620A" w:rsidRPr="000C0568">
        <w:rPr>
          <w:sz w:val="24"/>
          <w:szCs w:val="24"/>
        </w:rPr>
        <w:t>58 da Lei n</w:t>
      </w:r>
      <w:r w:rsidR="0049445F">
        <w:rPr>
          <w:sz w:val="24"/>
          <w:szCs w:val="24"/>
        </w:rPr>
        <w:t>.</w:t>
      </w:r>
      <w:r w:rsidR="0016620A" w:rsidRPr="000C0568">
        <w:rPr>
          <w:sz w:val="24"/>
          <w:szCs w:val="24"/>
        </w:rPr>
        <w:t xml:space="preserve"> 8.213), preenchido pelo representante legal da empresa com base em laudo técnico de condições ambientais do trabalho (LTCAT) expedido por médico do trabalho ou engenheiro de segurança do trabalho.</w:t>
      </w:r>
    </w:p>
    <w:p w:rsidR="0016620A" w:rsidRDefault="009C166B" w:rsidP="009C166B">
      <w:pPr>
        <w:autoSpaceDE w:val="0"/>
        <w:autoSpaceDN w:val="0"/>
        <w:adjustRightInd w:val="0"/>
        <w:spacing w:after="200" w:line="360" w:lineRule="auto"/>
        <w:jc w:val="both"/>
        <w:rPr>
          <w:sz w:val="24"/>
          <w:szCs w:val="24"/>
        </w:rPr>
      </w:pPr>
      <w:r>
        <w:rPr>
          <w:sz w:val="24"/>
          <w:szCs w:val="24"/>
        </w:rPr>
        <w:lastRenderedPageBreak/>
        <w:t>26.</w:t>
      </w:r>
      <w:r>
        <w:rPr>
          <w:sz w:val="24"/>
          <w:szCs w:val="24"/>
        </w:rPr>
        <w:tab/>
      </w:r>
      <w:r>
        <w:rPr>
          <w:sz w:val="24"/>
          <w:szCs w:val="24"/>
        </w:rPr>
        <w:tab/>
      </w:r>
      <w:r w:rsidR="0016620A" w:rsidRPr="000C0568">
        <w:rPr>
          <w:sz w:val="24"/>
          <w:szCs w:val="24"/>
        </w:rPr>
        <w:t>E embora o Decreto n</w:t>
      </w:r>
      <w:r w:rsidR="0049445F">
        <w:rPr>
          <w:sz w:val="24"/>
          <w:szCs w:val="24"/>
        </w:rPr>
        <w:t>.</w:t>
      </w:r>
      <w:r w:rsidR="0016620A" w:rsidRPr="000C0568">
        <w:rPr>
          <w:sz w:val="24"/>
          <w:szCs w:val="24"/>
        </w:rPr>
        <w:t xml:space="preserve"> 2.172, de 5/3/1997, tenha exigido a apresentação de laudo técnico para a caracterização da condição especial da atividade de trabalho, tal exigência não possui eficácia, por se tratar de matéria reservada à lei (Nesse sentido: STJ, </w:t>
      </w:r>
      <w:proofErr w:type="spellStart"/>
      <w:r w:rsidR="0016620A" w:rsidRPr="000C0568">
        <w:rPr>
          <w:sz w:val="24"/>
          <w:szCs w:val="24"/>
        </w:rPr>
        <w:t>AgRg</w:t>
      </w:r>
      <w:proofErr w:type="spellEnd"/>
      <w:r w:rsidR="0016620A" w:rsidRPr="000C0568">
        <w:rPr>
          <w:sz w:val="24"/>
          <w:szCs w:val="24"/>
        </w:rPr>
        <w:t xml:space="preserve"> no </w:t>
      </w:r>
      <w:proofErr w:type="spellStart"/>
      <w:r w:rsidR="0016620A" w:rsidRPr="000C0568">
        <w:rPr>
          <w:sz w:val="24"/>
          <w:szCs w:val="24"/>
        </w:rPr>
        <w:t>REsp</w:t>
      </w:r>
      <w:proofErr w:type="spellEnd"/>
      <w:r w:rsidR="0016620A" w:rsidRPr="000C0568">
        <w:rPr>
          <w:sz w:val="24"/>
          <w:szCs w:val="24"/>
        </w:rPr>
        <w:t xml:space="preserve"> 1</w:t>
      </w:r>
      <w:r w:rsidR="0049445F">
        <w:rPr>
          <w:sz w:val="24"/>
          <w:szCs w:val="24"/>
        </w:rPr>
        <w:t>.</w:t>
      </w:r>
      <w:r w:rsidR="0016620A" w:rsidRPr="000C0568">
        <w:rPr>
          <w:sz w:val="24"/>
          <w:szCs w:val="24"/>
        </w:rPr>
        <w:t>176</w:t>
      </w:r>
      <w:r w:rsidR="0049445F">
        <w:rPr>
          <w:sz w:val="24"/>
          <w:szCs w:val="24"/>
        </w:rPr>
        <w:t>.</w:t>
      </w:r>
      <w:r w:rsidR="0016620A" w:rsidRPr="000C0568">
        <w:rPr>
          <w:sz w:val="24"/>
          <w:szCs w:val="24"/>
        </w:rPr>
        <w:t>916/RS, Rel. Min. Felix Fischer, Quinta Turma, j.</w:t>
      </w:r>
      <w:r w:rsidR="0049445F">
        <w:rPr>
          <w:sz w:val="24"/>
          <w:szCs w:val="24"/>
        </w:rPr>
        <w:t xml:space="preserve"> 1</w:t>
      </w:r>
      <w:r w:rsidR="0016620A" w:rsidRPr="000C0568">
        <w:rPr>
          <w:sz w:val="24"/>
          <w:szCs w:val="24"/>
        </w:rPr>
        <w:t xml:space="preserve">1/5/2010, </w:t>
      </w:r>
      <w:proofErr w:type="spellStart"/>
      <w:r w:rsidR="0016620A" w:rsidRPr="000C0568">
        <w:rPr>
          <w:sz w:val="24"/>
          <w:szCs w:val="24"/>
        </w:rPr>
        <w:t>DJe</w:t>
      </w:r>
      <w:proofErr w:type="spellEnd"/>
      <w:r w:rsidR="0016620A" w:rsidRPr="000C0568">
        <w:rPr>
          <w:sz w:val="24"/>
          <w:szCs w:val="24"/>
        </w:rPr>
        <w:t xml:space="preserve"> 31/5/2010; TRF3, AC 00105941020124039999, Rel. </w:t>
      </w:r>
      <w:proofErr w:type="spellStart"/>
      <w:r w:rsidR="0016620A" w:rsidRPr="000C0568">
        <w:rPr>
          <w:sz w:val="24"/>
          <w:szCs w:val="24"/>
        </w:rPr>
        <w:t>Des</w:t>
      </w:r>
      <w:r w:rsidR="0049445F">
        <w:rPr>
          <w:sz w:val="24"/>
          <w:szCs w:val="24"/>
        </w:rPr>
        <w:t>emb</w:t>
      </w:r>
      <w:proofErr w:type="spellEnd"/>
      <w:r w:rsidR="0049445F">
        <w:rPr>
          <w:sz w:val="24"/>
          <w:szCs w:val="24"/>
        </w:rPr>
        <w:t>(a)</w:t>
      </w:r>
      <w:r w:rsidR="0016620A" w:rsidRPr="000C0568">
        <w:rPr>
          <w:sz w:val="24"/>
          <w:szCs w:val="24"/>
        </w:rPr>
        <w:t>. Fed</w:t>
      </w:r>
      <w:r w:rsidR="0049445F">
        <w:rPr>
          <w:sz w:val="24"/>
          <w:szCs w:val="24"/>
        </w:rPr>
        <w:t>eral</w:t>
      </w:r>
      <w:r w:rsidR="0016620A" w:rsidRPr="000C0568">
        <w:rPr>
          <w:sz w:val="24"/>
          <w:szCs w:val="24"/>
        </w:rPr>
        <w:t xml:space="preserve"> Lucia </w:t>
      </w:r>
      <w:proofErr w:type="spellStart"/>
      <w:r w:rsidR="0016620A" w:rsidRPr="000C0568">
        <w:rPr>
          <w:sz w:val="24"/>
          <w:szCs w:val="24"/>
        </w:rPr>
        <w:t>Ursaia</w:t>
      </w:r>
      <w:proofErr w:type="spellEnd"/>
      <w:r w:rsidR="0016620A" w:rsidRPr="000C0568">
        <w:rPr>
          <w:sz w:val="24"/>
          <w:szCs w:val="24"/>
        </w:rPr>
        <w:t>, Décima Turma, j.</w:t>
      </w:r>
      <w:r w:rsidR="0049445F">
        <w:rPr>
          <w:sz w:val="24"/>
          <w:szCs w:val="24"/>
        </w:rPr>
        <w:t xml:space="preserve"> </w:t>
      </w:r>
      <w:r w:rsidR="0016620A" w:rsidRPr="000C0568">
        <w:rPr>
          <w:sz w:val="24"/>
          <w:szCs w:val="24"/>
        </w:rPr>
        <w:t xml:space="preserve">8/10/2013, e-DJF3 16/10/2013). </w:t>
      </w:r>
    </w:p>
    <w:p w:rsidR="0016620A" w:rsidRDefault="009C166B" w:rsidP="009C166B">
      <w:pPr>
        <w:autoSpaceDE w:val="0"/>
        <w:autoSpaceDN w:val="0"/>
        <w:adjustRightInd w:val="0"/>
        <w:spacing w:after="200" w:line="360" w:lineRule="auto"/>
        <w:jc w:val="both"/>
        <w:rPr>
          <w:sz w:val="24"/>
          <w:szCs w:val="24"/>
        </w:rPr>
      </w:pPr>
      <w:r>
        <w:rPr>
          <w:sz w:val="24"/>
          <w:szCs w:val="24"/>
        </w:rPr>
        <w:t>27.</w:t>
      </w:r>
      <w:r>
        <w:rPr>
          <w:sz w:val="24"/>
          <w:szCs w:val="24"/>
        </w:rPr>
        <w:tab/>
      </w:r>
      <w:r>
        <w:rPr>
          <w:sz w:val="24"/>
          <w:szCs w:val="24"/>
        </w:rPr>
        <w:tab/>
      </w:r>
      <w:r w:rsidR="0016620A" w:rsidRPr="000C0568">
        <w:rPr>
          <w:sz w:val="24"/>
          <w:szCs w:val="24"/>
        </w:rPr>
        <w:t>Assim, a partir de 11/12/1997, a documentação apta à comprovação da atividade especial é, regra geral, o Perfil Profissiográfico Previdenciário (PPP), sendo também admitidos laudos técnicos emitidos por médico do trabalho ou engenheiro de segurança do trabalho.</w:t>
      </w:r>
    </w:p>
    <w:p w:rsidR="0016620A" w:rsidRDefault="009C166B" w:rsidP="009C166B">
      <w:pPr>
        <w:autoSpaceDE w:val="0"/>
        <w:autoSpaceDN w:val="0"/>
        <w:adjustRightInd w:val="0"/>
        <w:spacing w:after="200" w:line="360" w:lineRule="auto"/>
        <w:jc w:val="both"/>
        <w:rPr>
          <w:sz w:val="24"/>
          <w:szCs w:val="24"/>
        </w:rPr>
      </w:pPr>
      <w:r>
        <w:rPr>
          <w:sz w:val="24"/>
          <w:szCs w:val="24"/>
        </w:rPr>
        <w:t>28.</w:t>
      </w:r>
      <w:r>
        <w:rPr>
          <w:sz w:val="24"/>
          <w:szCs w:val="24"/>
        </w:rPr>
        <w:tab/>
      </w:r>
      <w:r>
        <w:rPr>
          <w:sz w:val="24"/>
          <w:szCs w:val="24"/>
        </w:rPr>
        <w:tab/>
      </w:r>
      <w:r w:rsidR="0016620A" w:rsidRPr="000C0568">
        <w:rPr>
          <w:sz w:val="24"/>
          <w:szCs w:val="24"/>
        </w:rPr>
        <w:t xml:space="preserve">O Perfil Profissiográfico Previdenciário </w:t>
      </w:r>
      <w:r w:rsidR="0049445F">
        <w:rPr>
          <w:sz w:val="24"/>
          <w:szCs w:val="24"/>
        </w:rPr>
        <w:t>—</w:t>
      </w:r>
      <w:r w:rsidR="0016620A" w:rsidRPr="000C0568">
        <w:rPr>
          <w:sz w:val="24"/>
          <w:szCs w:val="24"/>
        </w:rPr>
        <w:t xml:space="preserve"> PPP, quando preenchido adequadamente, é documento apto a comprovar o exercício de atividades especiais, em qualquer período, substituindo o laudo técnico ou os documentos exigidos até 31/12/2003, nos termos do art. 58, § 4°, da Lei n</w:t>
      </w:r>
      <w:r w:rsidR="002F5E2D">
        <w:rPr>
          <w:sz w:val="24"/>
          <w:szCs w:val="24"/>
        </w:rPr>
        <w:t>.</w:t>
      </w:r>
      <w:r w:rsidR="0016620A" w:rsidRPr="000C0568">
        <w:rPr>
          <w:sz w:val="24"/>
          <w:szCs w:val="24"/>
        </w:rPr>
        <w:t xml:space="preserve"> 8.213, de 24/7/1991, do art.</w:t>
      </w:r>
      <w:r w:rsidR="002F5E2D">
        <w:rPr>
          <w:sz w:val="24"/>
          <w:szCs w:val="24"/>
        </w:rPr>
        <w:t xml:space="preserve"> </w:t>
      </w:r>
      <w:r w:rsidR="0016620A" w:rsidRPr="000C0568">
        <w:rPr>
          <w:sz w:val="24"/>
          <w:szCs w:val="24"/>
        </w:rPr>
        <w:t>68, §</w:t>
      </w:r>
      <w:r w:rsidR="002F5E2D">
        <w:rPr>
          <w:sz w:val="24"/>
          <w:szCs w:val="24"/>
        </w:rPr>
        <w:t xml:space="preserve"> </w:t>
      </w:r>
      <w:r w:rsidR="0016620A" w:rsidRPr="000C0568">
        <w:rPr>
          <w:sz w:val="24"/>
          <w:szCs w:val="24"/>
        </w:rPr>
        <w:t>2º, do Decreto n</w:t>
      </w:r>
      <w:r w:rsidR="002F5E2D">
        <w:rPr>
          <w:sz w:val="24"/>
          <w:szCs w:val="24"/>
        </w:rPr>
        <w:t>.</w:t>
      </w:r>
      <w:r w:rsidR="0016620A" w:rsidRPr="000C0568">
        <w:rPr>
          <w:sz w:val="24"/>
          <w:szCs w:val="24"/>
        </w:rPr>
        <w:t xml:space="preserve"> 3.048, de 6/5/1999, e dos </w:t>
      </w:r>
      <w:proofErr w:type="spellStart"/>
      <w:r w:rsidR="0016620A" w:rsidRPr="000C0568">
        <w:rPr>
          <w:sz w:val="24"/>
          <w:szCs w:val="24"/>
        </w:rPr>
        <w:t>arts</w:t>
      </w:r>
      <w:proofErr w:type="spellEnd"/>
      <w:r w:rsidR="002F5E2D">
        <w:rPr>
          <w:sz w:val="24"/>
          <w:szCs w:val="24"/>
        </w:rPr>
        <w:t>.</w:t>
      </w:r>
      <w:r w:rsidR="0016620A" w:rsidRPr="000C0568">
        <w:rPr>
          <w:sz w:val="24"/>
          <w:szCs w:val="24"/>
        </w:rPr>
        <w:t xml:space="preserve"> 258 e 264, § 4º, da Instrução Normativa do INSS n</w:t>
      </w:r>
      <w:r w:rsidR="00B8135F">
        <w:rPr>
          <w:sz w:val="24"/>
          <w:szCs w:val="24"/>
        </w:rPr>
        <w:t>.</w:t>
      </w:r>
      <w:r w:rsidR="0016620A" w:rsidRPr="000C0568">
        <w:rPr>
          <w:sz w:val="24"/>
          <w:szCs w:val="24"/>
        </w:rPr>
        <w:t xml:space="preserve"> 77, de 21/1/2015 (TNU, PEDILEF n</w:t>
      </w:r>
      <w:r w:rsidR="00B8135F">
        <w:rPr>
          <w:sz w:val="24"/>
          <w:szCs w:val="24"/>
        </w:rPr>
        <w:t>.</w:t>
      </w:r>
      <w:r w:rsidR="0016620A" w:rsidRPr="000C0568">
        <w:rPr>
          <w:sz w:val="24"/>
          <w:szCs w:val="24"/>
        </w:rPr>
        <w:t xml:space="preserve"> 200651630001741, Rel. Juiz Fed</w:t>
      </w:r>
      <w:r w:rsidR="00B8135F">
        <w:rPr>
          <w:sz w:val="24"/>
          <w:szCs w:val="24"/>
        </w:rPr>
        <w:t>eral</w:t>
      </w:r>
      <w:r w:rsidR="0016620A" w:rsidRPr="000C0568">
        <w:rPr>
          <w:sz w:val="24"/>
          <w:szCs w:val="24"/>
        </w:rPr>
        <w:t xml:space="preserve"> Otávio Henrique Martins, DJ 15/9/2009; TRF1, AC 200538000316665, Rel. Juiz Fed</w:t>
      </w:r>
      <w:r w:rsidR="00B8135F">
        <w:rPr>
          <w:sz w:val="24"/>
          <w:szCs w:val="24"/>
        </w:rPr>
        <w:t>eral</w:t>
      </w:r>
      <w:r w:rsidR="0016620A" w:rsidRPr="000C0568">
        <w:rPr>
          <w:sz w:val="24"/>
          <w:szCs w:val="24"/>
        </w:rPr>
        <w:t xml:space="preserve"> Miguel Ângelo de Alvarenga Lopes, Terceira Turma Suplementar, j.</w:t>
      </w:r>
      <w:r w:rsidR="00B8135F">
        <w:rPr>
          <w:sz w:val="24"/>
          <w:szCs w:val="24"/>
        </w:rPr>
        <w:t xml:space="preserve"> </w:t>
      </w:r>
      <w:r w:rsidR="0016620A" w:rsidRPr="000C0568">
        <w:rPr>
          <w:sz w:val="24"/>
          <w:szCs w:val="24"/>
        </w:rPr>
        <w:t>6/6/2012, e-DJF1</w:t>
      </w:r>
      <w:r w:rsidR="00B8135F">
        <w:rPr>
          <w:sz w:val="24"/>
          <w:szCs w:val="24"/>
        </w:rPr>
        <w:t>,</w:t>
      </w:r>
      <w:r w:rsidR="0016620A" w:rsidRPr="000C0568">
        <w:rPr>
          <w:sz w:val="24"/>
          <w:szCs w:val="24"/>
        </w:rPr>
        <w:t xml:space="preserve"> 22/6/2012).</w:t>
      </w:r>
    </w:p>
    <w:p w:rsidR="0016620A" w:rsidRDefault="00BA75D2" w:rsidP="00BA75D2">
      <w:pPr>
        <w:autoSpaceDE w:val="0"/>
        <w:autoSpaceDN w:val="0"/>
        <w:adjustRightInd w:val="0"/>
        <w:spacing w:after="200" w:line="360" w:lineRule="auto"/>
        <w:jc w:val="both"/>
        <w:rPr>
          <w:sz w:val="24"/>
          <w:szCs w:val="24"/>
        </w:rPr>
      </w:pPr>
      <w:r>
        <w:rPr>
          <w:sz w:val="24"/>
          <w:szCs w:val="24"/>
        </w:rPr>
        <w:t>29.</w:t>
      </w:r>
      <w:r>
        <w:rPr>
          <w:sz w:val="24"/>
          <w:szCs w:val="24"/>
        </w:rPr>
        <w:tab/>
      </w:r>
      <w:r>
        <w:rPr>
          <w:sz w:val="24"/>
          <w:szCs w:val="24"/>
        </w:rPr>
        <w:tab/>
      </w:r>
      <w:r w:rsidR="0016620A" w:rsidRPr="000C0568">
        <w:rPr>
          <w:sz w:val="24"/>
          <w:szCs w:val="24"/>
        </w:rPr>
        <w:t xml:space="preserve">O fornecimento de equipamentos de proteção individual (EPI), ainda que o equipamento seja efetivamente utilizado, não é motivo suficiente, por si só, para afastar o reconhecimento do tempo de serviço em condições especiais, uma vez que a sua utilização não necessariamente elimina os agentes nocivos à saúde que atingem o segurado em seu ambiente de trabalho, mas somente reduz seus efeitos (nesse sentido: STJ, </w:t>
      </w:r>
      <w:proofErr w:type="spellStart"/>
      <w:r w:rsidR="0016620A" w:rsidRPr="000C0568">
        <w:rPr>
          <w:sz w:val="24"/>
          <w:szCs w:val="24"/>
        </w:rPr>
        <w:t>REsp</w:t>
      </w:r>
      <w:proofErr w:type="spellEnd"/>
      <w:r w:rsidR="0016620A" w:rsidRPr="000C0568">
        <w:rPr>
          <w:sz w:val="24"/>
          <w:szCs w:val="24"/>
        </w:rPr>
        <w:t xml:space="preserve"> 1</w:t>
      </w:r>
      <w:r w:rsidR="0048041E">
        <w:rPr>
          <w:sz w:val="24"/>
          <w:szCs w:val="24"/>
        </w:rPr>
        <w:t>.</w:t>
      </w:r>
      <w:r w:rsidR="0016620A" w:rsidRPr="000C0568">
        <w:rPr>
          <w:sz w:val="24"/>
          <w:szCs w:val="24"/>
        </w:rPr>
        <w:t>567</w:t>
      </w:r>
      <w:r w:rsidR="0048041E">
        <w:rPr>
          <w:sz w:val="24"/>
          <w:szCs w:val="24"/>
        </w:rPr>
        <w:t>.</w:t>
      </w:r>
      <w:r w:rsidR="0016620A" w:rsidRPr="000C0568">
        <w:rPr>
          <w:sz w:val="24"/>
          <w:szCs w:val="24"/>
        </w:rPr>
        <w:t>050/SP, Rel. Min. Herman Benjamin, Segunda Turma, j. 1</w:t>
      </w:r>
      <w:r w:rsidR="0048041E">
        <w:rPr>
          <w:sz w:val="24"/>
          <w:szCs w:val="24"/>
        </w:rPr>
        <w:t>º</w:t>
      </w:r>
      <w:r w:rsidR="0016620A" w:rsidRPr="000C0568">
        <w:rPr>
          <w:sz w:val="24"/>
          <w:szCs w:val="24"/>
        </w:rPr>
        <w:t xml:space="preserve">/12/2015, </w:t>
      </w:r>
      <w:proofErr w:type="spellStart"/>
      <w:r w:rsidR="0016620A" w:rsidRPr="000C0568">
        <w:rPr>
          <w:sz w:val="24"/>
          <w:szCs w:val="24"/>
        </w:rPr>
        <w:t>Dje</w:t>
      </w:r>
      <w:proofErr w:type="spellEnd"/>
      <w:r w:rsidR="0048041E">
        <w:rPr>
          <w:sz w:val="24"/>
          <w:szCs w:val="24"/>
        </w:rPr>
        <w:t>,</w:t>
      </w:r>
      <w:r w:rsidR="0016620A" w:rsidRPr="000C0568">
        <w:rPr>
          <w:sz w:val="24"/>
          <w:szCs w:val="24"/>
        </w:rPr>
        <w:t xml:space="preserve"> 4/2/2016).</w:t>
      </w:r>
    </w:p>
    <w:p w:rsidR="0016620A" w:rsidRDefault="00BA75D2" w:rsidP="00BA75D2">
      <w:pPr>
        <w:autoSpaceDE w:val="0"/>
        <w:autoSpaceDN w:val="0"/>
        <w:adjustRightInd w:val="0"/>
        <w:spacing w:after="200" w:line="360" w:lineRule="auto"/>
        <w:jc w:val="both"/>
        <w:rPr>
          <w:sz w:val="24"/>
          <w:szCs w:val="24"/>
        </w:rPr>
      </w:pPr>
      <w:r>
        <w:rPr>
          <w:sz w:val="24"/>
          <w:szCs w:val="24"/>
        </w:rPr>
        <w:lastRenderedPageBreak/>
        <w:t>30.</w:t>
      </w:r>
      <w:r>
        <w:rPr>
          <w:sz w:val="24"/>
          <w:szCs w:val="24"/>
        </w:rPr>
        <w:tab/>
      </w:r>
      <w:r>
        <w:rPr>
          <w:sz w:val="24"/>
          <w:szCs w:val="24"/>
        </w:rPr>
        <w:tab/>
      </w:r>
      <w:r w:rsidR="0016620A" w:rsidRPr="000C0568">
        <w:rPr>
          <w:sz w:val="24"/>
          <w:szCs w:val="24"/>
        </w:rPr>
        <w:t xml:space="preserve">O </w:t>
      </w:r>
      <w:proofErr w:type="spellStart"/>
      <w:r w:rsidR="0030557F">
        <w:rPr>
          <w:sz w:val="24"/>
          <w:szCs w:val="24"/>
        </w:rPr>
        <w:t>eg</w:t>
      </w:r>
      <w:proofErr w:type="spellEnd"/>
      <w:r w:rsidR="0016620A" w:rsidRPr="000C0568">
        <w:rPr>
          <w:sz w:val="24"/>
          <w:szCs w:val="24"/>
        </w:rPr>
        <w:t>. STF, ademais, decidiu questão de Repercussão Geral sobre o tema (ARE 664</w:t>
      </w:r>
      <w:r w:rsidR="0030557F">
        <w:rPr>
          <w:sz w:val="24"/>
          <w:szCs w:val="24"/>
        </w:rPr>
        <w:t>.</w:t>
      </w:r>
      <w:r w:rsidR="0016620A" w:rsidRPr="000C0568">
        <w:rPr>
          <w:sz w:val="24"/>
          <w:szCs w:val="24"/>
        </w:rPr>
        <w:t xml:space="preserve">335/SC, Rel. Min. Luiz </w:t>
      </w:r>
      <w:proofErr w:type="spellStart"/>
      <w:r w:rsidR="0016620A" w:rsidRPr="000C0568">
        <w:rPr>
          <w:sz w:val="24"/>
          <w:szCs w:val="24"/>
        </w:rPr>
        <w:t>Fux</w:t>
      </w:r>
      <w:proofErr w:type="spellEnd"/>
      <w:r w:rsidR="0016620A" w:rsidRPr="000C0568">
        <w:rPr>
          <w:sz w:val="24"/>
          <w:szCs w:val="24"/>
        </w:rPr>
        <w:t xml:space="preserve">, Tribunal Pleno, j. 4/12/2014, </w:t>
      </w:r>
      <w:proofErr w:type="spellStart"/>
      <w:r w:rsidR="0016620A" w:rsidRPr="000C0568">
        <w:rPr>
          <w:sz w:val="24"/>
          <w:szCs w:val="24"/>
        </w:rPr>
        <w:t>DJe</w:t>
      </w:r>
      <w:proofErr w:type="spellEnd"/>
      <w:r w:rsidR="00844620">
        <w:rPr>
          <w:sz w:val="24"/>
          <w:szCs w:val="24"/>
        </w:rPr>
        <w:t>,</w:t>
      </w:r>
      <w:r w:rsidR="0016620A" w:rsidRPr="000C0568">
        <w:rPr>
          <w:sz w:val="24"/>
          <w:szCs w:val="24"/>
        </w:rPr>
        <w:t xml:space="preserve"> 11/2/2015)</w:t>
      </w:r>
      <w:r w:rsidR="0030557F">
        <w:rPr>
          <w:sz w:val="24"/>
          <w:szCs w:val="24"/>
        </w:rPr>
        <w:t>, no qual</w:t>
      </w:r>
      <w:r w:rsidR="0016620A" w:rsidRPr="000C0568">
        <w:rPr>
          <w:sz w:val="24"/>
          <w:szCs w:val="24"/>
        </w:rPr>
        <w:t xml:space="preserve"> foi estabelecido que “se o EPI for realmente capaz de neutralizar a nocividade não haverá respaldo constitucional à aposentadoria especial”. </w:t>
      </w:r>
    </w:p>
    <w:p w:rsidR="0016620A" w:rsidRPr="000C0568" w:rsidRDefault="00BA75D2" w:rsidP="00BA75D2">
      <w:pPr>
        <w:autoSpaceDE w:val="0"/>
        <w:autoSpaceDN w:val="0"/>
        <w:adjustRightInd w:val="0"/>
        <w:spacing w:after="200" w:line="360" w:lineRule="auto"/>
        <w:jc w:val="both"/>
        <w:rPr>
          <w:sz w:val="24"/>
          <w:szCs w:val="24"/>
        </w:rPr>
      </w:pPr>
      <w:r>
        <w:rPr>
          <w:sz w:val="24"/>
          <w:szCs w:val="24"/>
        </w:rPr>
        <w:t>31.</w:t>
      </w:r>
      <w:r>
        <w:rPr>
          <w:sz w:val="24"/>
          <w:szCs w:val="24"/>
        </w:rPr>
        <w:tab/>
      </w:r>
      <w:r>
        <w:rPr>
          <w:sz w:val="24"/>
          <w:szCs w:val="24"/>
        </w:rPr>
        <w:tab/>
      </w:r>
      <w:r w:rsidR="0016620A" w:rsidRPr="000C0568">
        <w:rPr>
          <w:sz w:val="24"/>
          <w:szCs w:val="24"/>
        </w:rPr>
        <w:t>Deve-se consignar, todavia, que a adequada interpretação do precedente do Pleno do STF é a de que a simples informação, em PPP, de fornecimento de EPI não descaracteriza a atividade especial, exceto se houver comprovação suficiente da eliminação dos agentes agressivos, conforme se depreende do item 11 da ementa da decisão:</w:t>
      </w:r>
    </w:p>
    <w:p w:rsidR="0016620A" w:rsidRPr="000C0568" w:rsidRDefault="0016620A" w:rsidP="00E24902">
      <w:pPr>
        <w:autoSpaceDE w:val="0"/>
        <w:autoSpaceDN w:val="0"/>
        <w:adjustRightInd w:val="0"/>
        <w:spacing w:after="0" w:line="240" w:lineRule="auto"/>
        <w:ind w:firstLine="709"/>
        <w:jc w:val="both"/>
        <w:rPr>
          <w:sz w:val="24"/>
          <w:szCs w:val="24"/>
        </w:rPr>
      </w:pPr>
    </w:p>
    <w:p w:rsidR="0016620A" w:rsidRPr="000C0568" w:rsidRDefault="0016620A" w:rsidP="00E24902">
      <w:pPr>
        <w:autoSpaceDE w:val="0"/>
        <w:autoSpaceDN w:val="0"/>
        <w:adjustRightInd w:val="0"/>
        <w:spacing w:after="0" w:line="240" w:lineRule="auto"/>
        <w:ind w:left="709"/>
        <w:jc w:val="both"/>
        <w:rPr>
          <w:sz w:val="24"/>
          <w:szCs w:val="24"/>
        </w:rPr>
      </w:pPr>
      <w:r w:rsidRPr="000C0568">
        <w:rPr>
          <w:sz w:val="24"/>
          <w:szCs w:val="24"/>
        </w:rPr>
        <w:t xml:space="preserve">“A Administração poderá, no exercício da fiscalização, aferir as informações prestadas pela empresa, sem prejuízo do inafastável </w:t>
      </w:r>
      <w:r w:rsidRPr="00844620">
        <w:rPr>
          <w:i/>
          <w:sz w:val="24"/>
          <w:szCs w:val="24"/>
        </w:rPr>
        <w:t>judicial review</w:t>
      </w:r>
      <w:r w:rsidRPr="000C0568">
        <w:rPr>
          <w:sz w:val="24"/>
          <w:szCs w:val="24"/>
        </w:rPr>
        <w:t>. Em caso de divergência ou dúvida sobre a real eficácia do Equipamento de Proteção Individual, a premissa a nortear a Administração e o Judiciário é pelo reconhecimento do direito ao benefício da aposentadoria especial. Isto porque o uso de EPI, no caso concreto, pode não se afigurar suficiente para descaracterizar completamente a relação nociva a que o empregado se submete”.</w:t>
      </w:r>
    </w:p>
    <w:p w:rsidR="0016620A" w:rsidRPr="000C0568" w:rsidRDefault="0016620A" w:rsidP="00BA75D2">
      <w:pPr>
        <w:autoSpaceDE w:val="0"/>
        <w:autoSpaceDN w:val="0"/>
        <w:adjustRightInd w:val="0"/>
        <w:spacing w:after="200" w:line="360" w:lineRule="auto"/>
        <w:jc w:val="both"/>
        <w:rPr>
          <w:sz w:val="24"/>
          <w:szCs w:val="24"/>
        </w:rPr>
      </w:pPr>
    </w:p>
    <w:p w:rsidR="0016620A" w:rsidRPr="000C0568" w:rsidRDefault="00BA75D2" w:rsidP="00BA75D2">
      <w:pPr>
        <w:autoSpaceDE w:val="0"/>
        <w:autoSpaceDN w:val="0"/>
        <w:adjustRightInd w:val="0"/>
        <w:spacing w:after="200" w:line="360" w:lineRule="auto"/>
        <w:jc w:val="both"/>
        <w:rPr>
          <w:sz w:val="24"/>
          <w:szCs w:val="24"/>
        </w:rPr>
      </w:pPr>
      <w:r>
        <w:rPr>
          <w:sz w:val="24"/>
          <w:szCs w:val="24"/>
        </w:rPr>
        <w:t>32.</w:t>
      </w:r>
      <w:r>
        <w:rPr>
          <w:sz w:val="24"/>
          <w:szCs w:val="24"/>
        </w:rPr>
        <w:tab/>
      </w:r>
      <w:r>
        <w:rPr>
          <w:sz w:val="24"/>
          <w:szCs w:val="24"/>
        </w:rPr>
        <w:tab/>
      </w:r>
      <w:r w:rsidR="0016620A" w:rsidRPr="000C0568">
        <w:rPr>
          <w:sz w:val="24"/>
          <w:szCs w:val="24"/>
        </w:rPr>
        <w:t xml:space="preserve">Este entendimento resta manifesto também no item 14 da decisão mencionada, </w:t>
      </w:r>
      <w:r w:rsidR="00B80758">
        <w:rPr>
          <w:sz w:val="24"/>
          <w:szCs w:val="24"/>
        </w:rPr>
        <w:t>no qual</w:t>
      </w:r>
      <w:r w:rsidR="0016620A" w:rsidRPr="000C0568">
        <w:rPr>
          <w:sz w:val="24"/>
          <w:szCs w:val="24"/>
        </w:rPr>
        <w:t xml:space="preserve"> foi consignado, no que toca ao agente agressivo ruído, que a eficácia do EPI não descaracteriza o tempo de serviço especial para aposentadoria:</w:t>
      </w:r>
    </w:p>
    <w:p w:rsidR="0016620A" w:rsidRPr="000C0568" w:rsidRDefault="0016620A" w:rsidP="00E24902">
      <w:pPr>
        <w:autoSpaceDE w:val="0"/>
        <w:autoSpaceDN w:val="0"/>
        <w:adjustRightInd w:val="0"/>
        <w:spacing w:after="0" w:line="240" w:lineRule="auto"/>
        <w:ind w:left="709"/>
        <w:jc w:val="both"/>
        <w:rPr>
          <w:sz w:val="24"/>
          <w:szCs w:val="24"/>
        </w:rPr>
      </w:pPr>
      <w:r w:rsidRPr="000C0568">
        <w:rPr>
          <w:sz w:val="24"/>
          <w:szCs w:val="24"/>
        </w:rPr>
        <w:t xml:space="preserve">"Na hipótese de exposição do trabalhador a ruído acima dos limites legais de tolerância, a declaração do empregador, no âmbito do Perfil Profissiográfico Previdenciário (PPP), no sentido da eficácia do Equipamento de Proteção Individual </w:t>
      </w:r>
      <w:r w:rsidR="00E80596">
        <w:rPr>
          <w:sz w:val="24"/>
          <w:szCs w:val="24"/>
        </w:rPr>
        <w:t>—</w:t>
      </w:r>
      <w:r w:rsidRPr="000C0568">
        <w:rPr>
          <w:sz w:val="24"/>
          <w:szCs w:val="24"/>
        </w:rPr>
        <w:t xml:space="preserve"> EPI, não descaracteriza o tempo de serviço especial para aposentadoria”.</w:t>
      </w:r>
    </w:p>
    <w:p w:rsidR="0016620A" w:rsidRPr="000C0568" w:rsidRDefault="0016620A" w:rsidP="00BA75D2">
      <w:pPr>
        <w:autoSpaceDE w:val="0"/>
        <w:autoSpaceDN w:val="0"/>
        <w:adjustRightInd w:val="0"/>
        <w:spacing w:after="200" w:line="360" w:lineRule="auto"/>
        <w:jc w:val="both"/>
        <w:rPr>
          <w:sz w:val="24"/>
          <w:szCs w:val="24"/>
        </w:rPr>
      </w:pPr>
    </w:p>
    <w:p w:rsidR="0016620A" w:rsidRDefault="00BA75D2" w:rsidP="00BA75D2">
      <w:pPr>
        <w:autoSpaceDE w:val="0"/>
        <w:autoSpaceDN w:val="0"/>
        <w:adjustRightInd w:val="0"/>
        <w:spacing w:after="200" w:line="360" w:lineRule="auto"/>
        <w:jc w:val="both"/>
        <w:rPr>
          <w:sz w:val="24"/>
          <w:szCs w:val="24"/>
        </w:rPr>
      </w:pPr>
      <w:r>
        <w:rPr>
          <w:sz w:val="24"/>
          <w:szCs w:val="24"/>
        </w:rPr>
        <w:t>33.</w:t>
      </w:r>
      <w:r>
        <w:rPr>
          <w:sz w:val="24"/>
          <w:szCs w:val="24"/>
        </w:rPr>
        <w:tab/>
      </w:r>
      <w:r>
        <w:rPr>
          <w:sz w:val="24"/>
          <w:szCs w:val="24"/>
        </w:rPr>
        <w:tab/>
      </w:r>
      <w:r w:rsidR="0016620A" w:rsidRPr="00BA75D2">
        <w:rPr>
          <w:b/>
          <w:sz w:val="24"/>
          <w:szCs w:val="24"/>
        </w:rPr>
        <w:t>Caracterização da atividade especial</w:t>
      </w:r>
    </w:p>
    <w:p w:rsidR="0016620A" w:rsidRDefault="00BA75D2" w:rsidP="00BA75D2">
      <w:pPr>
        <w:autoSpaceDE w:val="0"/>
        <w:autoSpaceDN w:val="0"/>
        <w:adjustRightInd w:val="0"/>
        <w:spacing w:after="200" w:line="360" w:lineRule="auto"/>
        <w:jc w:val="both"/>
        <w:rPr>
          <w:sz w:val="24"/>
          <w:szCs w:val="24"/>
        </w:rPr>
      </w:pPr>
      <w:r>
        <w:rPr>
          <w:sz w:val="24"/>
          <w:szCs w:val="24"/>
        </w:rPr>
        <w:lastRenderedPageBreak/>
        <w:t xml:space="preserve">34. </w:t>
      </w:r>
      <w:r>
        <w:rPr>
          <w:sz w:val="24"/>
          <w:szCs w:val="24"/>
        </w:rPr>
        <w:tab/>
      </w:r>
      <w:r>
        <w:rPr>
          <w:sz w:val="24"/>
          <w:szCs w:val="24"/>
        </w:rPr>
        <w:tab/>
      </w:r>
      <w:r w:rsidR="0016620A" w:rsidRPr="000C0568">
        <w:rPr>
          <w:sz w:val="24"/>
          <w:szCs w:val="24"/>
        </w:rPr>
        <w:t xml:space="preserve">A caracterização das atividades de trabalho como especiais deve observar o regramento contido nos </w:t>
      </w:r>
      <w:r w:rsidR="00577CAB">
        <w:rPr>
          <w:sz w:val="24"/>
          <w:szCs w:val="24"/>
        </w:rPr>
        <w:t>d</w:t>
      </w:r>
      <w:r w:rsidR="0016620A" w:rsidRPr="000C0568">
        <w:rPr>
          <w:sz w:val="24"/>
          <w:szCs w:val="24"/>
        </w:rPr>
        <w:t>ecretos expedidos pelo Poder Executivo.</w:t>
      </w:r>
    </w:p>
    <w:p w:rsidR="0016620A" w:rsidRDefault="00BA75D2" w:rsidP="00BA75D2">
      <w:pPr>
        <w:autoSpaceDE w:val="0"/>
        <w:autoSpaceDN w:val="0"/>
        <w:adjustRightInd w:val="0"/>
        <w:spacing w:after="200" w:line="360" w:lineRule="auto"/>
        <w:jc w:val="both"/>
        <w:rPr>
          <w:sz w:val="24"/>
          <w:szCs w:val="24"/>
        </w:rPr>
      </w:pPr>
      <w:r>
        <w:rPr>
          <w:sz w:val="24"/>
          <w:szCs w:val="24"/>
        </w:rPr>
        <w:t>35.</w:t>
      </w:r>
      <w:r>
        <w:rPr>
          <w:sz w:val="24"/>
          <w:szCs w:val="24"/>
        </w:rPr>
        <w:tab/>
      </w:r>
      <w:r>
        <w:rPr>
          <w:sz w:val="24"/>
          <w:szCs w:val="24"/>
        </w:rPr>
        <w:tab/>
      </w:r>
      <w:r w:rsidR="002B1EC3" w:rsidRPr="000C0568">
        <w:rPr>
          <w:sz w:val="24"/>
          <w:szCs w:val="24"/>
        </w:rPr>
        <w:t>A</w:t>
      </w:r>
      <w:r w:rsidR="0016620A" w:rsidRPr="000C0568">
        <w:rPr>
          <w:sz w:val="24"/>
          <w:szCs w:val="24"/>
        </w:rPr>
        <w:t xml:space="preserve"> hermenêutica jurídica do </w:t>
      </w:r>
      <w:r w:rsidR="002B734C">
        <w:rPr>
          <w:sz w:val="24"/>
          <w:szCs w:val="24"/>
        </w:rPr>
        <w:t>c</w:t>
      </w:r>
      <w:r w:rsidR="0016620A" w:rsidRPr="000C0568">
        <w:rPr>
          <w:sz w:val="24"/>
          <w:szCs w:val="24"/>
        </w:rPr>
        <w:t xml:space="preserve">olendo STJ consolidou o entendimento segundo o qual as normas regulamentadoras que estabelecem os casos de agentes e atividades nocivos à saúde do trabalhador não são taxativas, mas exemplificativas, razão pela qual é possível reconhecer como especiais as atividades que comprovadamente exponham o trabalhador, de modo habitual e permanente, a agentes nocivos à saúde ou a fatores de risco (periculosidade), ainda que tais agentes não estejam inscritos em regulamento (nesse sentido os seguintes julgados: </w:t>
      </w:r>
      <w:proofErr w:type="spellStart"/>
      <w:r w:rsidR="0016620A" w:rsidRPr="000C0568">
        <w:rPr>
          <w:sz w:val="24"/>
          <w:szCs w:val="24"/>
        </w:rPr>
        <w:t>REsp</w:t>
      </w:r>
      <w:proofErr w:type="spellEnd"/>
      <w:r w:rsidR="0016620A" w:rsidRPr="000C0568">
        <w:rPr>
          <w:sz w:val="24"/>
          <w:szCs w:val="24"/>
        </w:rPr>
        <w:t xml:space="preserve"> Repetitivo 1</w:t>
      </w:r>
      <w:r w:rsidR="002B734C">
        <w:rPr>
          <w:sz w:val="24"/>
          <w:szCs w:val="24"/>
        </w:rPr>
        <w:t>.</w:t>
      </w:r>
      <w:r w:rsidR="0016620A" w:rsidRPr="000C0568">
        <w:rPr>
          <w:sz w:val="24"/>
          <w:szCs w:val="24"/>
        </w:rPr>
        <w:t>306</w:t>
      </w:r>
      <w:r w:rsidR="002B734C">
        <w:rPr>
          <w:sz w:val="24"/>
          <w:szCs w:val="24"/>
        </w:rPr>
        <w:t>.</w:t>
      </w:r>
      <w:r w:rsidR="0016620A" w:rsidRPr="000C0568">
        <w:rPr>
          <w:sz w:val="24"/>
          <w:szCs w:val="24"/>
        </w:rPr>
        <w:t xml:space="preserve">113/SC, Rel. Min. Herman Benjamin, Primeira Seção, j. 14/11/2012, </w:t>
      </w:r>
      <w:proofErr w:type="spellStart"/>
      <w:r w:rsidR="0016620A" w:rsidRPr="000C0568">
        <w:rPr>
          <w:sz w:val="24"/>
          <w:szCs w:val="24"/>
        </w:rPr>
        <w:t>DJe</w:t>
      </w:r>
      <w:proofErr w:type="spellEnd"/>
      <w:r w:rsidR="0016620A" w:rsidRPr="000C0568">
        <w:rPr>
          <w:sz w:val="24"/>
          <w:szCs w:val="24"/>
        </w:rPr>
        <w:t xml:space="preserve"> 7/3/2013; </w:t>
      </w:r>
      <w:proofErr w:type="spellStart"/>
      <w:r w:rsidR="0016620A" w:rsidRPr="000C0568">
        <w:rPr>
          <w:sz w:val="24"/>
          <w:szCs w:val="24"/>
        </w:rPr>
        <w:t>REsp</w:t>
      </w:r>
      <w:proofErr w:type="spellEnd"/>
      <w:r w:rsidR="0016620A" w:rsidRPr="000C0568">
        <w:rPr>
          <w:sz w:val="24"/>
          <w:szCs w:val="24"/>
        </w:rPr>
        <w:t xml:space="preserve"> 426</w:t>
      </w:r>
      <w:r w:rsidR="002B734C">
        <w:rPr>
          <w:sz w:val="24"/>
          <w:szCs w:val="24"/>
        </w:rPr>
        <w:t>.</w:t>
      </w:r>
      <w:r w:rsidR="0016620A" w:rsidRPr="000C0568">
        <w:rPr>
          <w:sz w:val="24"/>
          <w:szCs w:val="24"/>
        </w:rPr>
        <w:t xml:space="preserve">019/RS, Rel. Min. Paulo </w:t>
      </w:r>
      <w:proofErr w:type="spellStart"/>
      <w:r w:rsidR="0016620A" w:rsidRPr="000C0568">
        <w:rPr>
          <w:sz w:val="24"/>
          <w:szCs w:val="24"/>
        </w:rPr>
        <w:t>Gallotti</w:t>
      </w:r>
      <w:proofErr w:type="spellEnd"/>
      <w:r w:rsidR="0016620A" w:rsidRPr="000C0568">
        <w:rPr>
          <w:sz w:val="24"/>
          <w:szCs w:val="24"/>
        </w:rPr>
        <w:t>, Sexta Turma, j. 15/5/2003, DJ 20/2/2006).</w:t>
      </w:r>
    </w:p>
    <w:p w:rsidR="0016620A" w:rsidRDefault="00BA75D2" w:rsidP="00BA75D2">
      <w:pPr>
        <w:autoSpaceDE w:val="0"/>
        <w:autoSpaceDN w:val="0"/>
        <w:adjustRightInd w:val="0"/>
        <w:spacing w:after="200" w:line="360" w:lineRule="auto"/>
        <w:jc w:val="both"/>
        <w:rPr>
          <w:sz w:val="24"/>
          <w:szCs w:val="24"/>
        </w:rPr>
      </w:pPr>
      <w:r>
        <w:rPr>
          <w:sz w:val="24"/>
          <w:szCs w:val="24"/>
        </w:rPr>
        <w:t>36.</w:t>
      </w:r>
      <w:r>
        <w:rPr>
          <w:sz w:val="24"/>
          <w:szCs w:val="24"/>
        </w:rPr>
        <w:tab/>
      </w:r>
      <w:r>
        <w:rPr>
          <w:sz w:val="24"/>
          <w:szCs w:val="24"/>
        </w:rPr>
        <w:tab/>
      </w:r>
      <w:r w:rsidR="0016620A" w:rsidRPr="000C0568">
        <w:rPr>
          <w:sz w:val="24"/>
          <w:szCs w:val="24"/>
        </w:rPr>
        <w:t xml:space="preserve">A </w:t>
      </w:r>
      <w:r w:rsidR="00CF0329">
        <w:rPr>
          <w:sz w:val="24"/>
          <w:szCs w:val="24"/>
        </w:rPr>
        <w:t>c</w:t>
      </w:r>
      <w:r w:rsidR="0016620A" w:rsidRPr="000C0568">
        <w:rPr>
          <w:sz w:val="24"/>
          <w:szCs w:val="24"/>
        </w:rPr>
        <w:t>olenda Corte Superior de Justiça também possui firme jurisprudência no sentido de ser possível, para fins de concessão de aposentadoria, a caracterização de atividade como especial mesmo em período anterior ao advento da Lei n</w:t>
      </w:r>
      <w:r w:rsidR="00CF0329">
        <w:rPr>
          <w:sz w:val="24"/>
          <w:szCs w:val="24"/>
        </w:rPr>
        <w:t xml:space="preserve">. </w:t>
      </w:r>
      <w:r w:rsidR="0016620A" w:rsidRPr="000C0568">
        <w:rPr>
          <w:sz w:val="24"/>
          <w:szCs w:val="24"/>
        </w:rPr>
        <w:t>3.807, de 26/8/1960 (</w:t>
      </w:r>
      <w:proofErr w:type="spellStart"/>
      <w:r w:rsidR="0016620A" w:rsidRPr="000C0568">
        <w:rPr>
          <w:sz w:val="24"/>
          <w:szCs w:val="24"/>
        </w:rPr>
        <w:t>AgRg</w:t>
      </w:r>
      <w:proofErr w:type="spellEnd"/>
      <w:r w:rsidR="0016620A" w:rsidRPr="000C0568">
        <w:rPr>
          <w:sz w:val="24"/>
          <w:szCs w:val="24"/>
        </w:rPr>
        <w:t xml:space="preserve"> no </w:t>
      </w:r>
      <w:proofErr w:type="spellStart"/>
      <w:r w:rsidR="0016620A" w:rsidRPr="000C0568">
        <w:rPr>
          <w:sz w:val="24"/>
          <w:szCs w:val="24"/>
        </w:rPr>
        <w:t>REsp</w:t>
      </w:r>
      <w:proofErr w:type="spellEnd"/>
      <w:r w:rsidR="0016620A" w:rsidRPr="000C0568">
        <w:rPr>
          <w:sz w:val="24"/>
          <w:szCs w:val="24"/>
        </w:rPr>
        <w:t xml:space="preserve"> 1</w:t>
      </w:r>
      <w:r w:rsidR="00CF0329">
        <w:rPr>
          <w:sz w:val="24"/>
          <w:szCs w:val="24"/>
        </w:rPr>
        <w:t>.</w:t>
      </w:r>
      <w:r w:rsidR="0016620A" w:rsidRPr="000C0568">
        <w:rPr>
          <w:sz w:val="24"/>
          <w:szCs w:val="24"/>
        </w:rPr>
        <w:t>008</w:t>
      </w:r>
      <w:r w:rsidR="00CF0329">
        <w:rPr>
          <w:sz w:val="24"/>
          <w:szCs w:val="24"/>
        </w:rPr>
        <w:t>.</w:t>
      </w:r>
      <w:r w:rsidR="0016620A" w:rsidRPr="000C0568">
        <w:rPr>
          <w:sz w:val="24"/>
          <w:szCs w:val="24"/>
        </w:rPr>
        <w:t xml:space="preserve">380/RS, Rel. Min. </w:t>
      </w:r>
      <w:proofErr w:type="spellStart"/>
      <w:r w:rsidR="0016620A" w:rsidRPr="000C0568">
        <w:rPr>
          <w:sz w:val="24"/>
          <w:szCs w:val="24"/>
        </w:rPr>
        <w:t>Og</w:t>
      </w:r>
      <w:proofErr w:type="spellEnd"/>
      <w:r w:rsidR="0016620A" w:rsidRPr="000C0568">
        <w:rPr>
          <w:sz w:val="24"/>
          <w:szCs w:val="24"/>
        </w:rPr>
        <w:t xml:space="preserve"> Fernandes, Sexta Turma, j.</w:t>
      </w:r>
      <w:r w:rsidR="00CF0329">
        <w:rPr>
          <w:sz w:val="24"/>
          <w:szCs w:val="24"/>
        </w:rPr>
        <w:t xml:space="preserve"> </w:t>
      </w:r>
      <w:r w:rsidR="0016620A" w:rsidRPr="000C0568">
        <w:rPr>
          <w:sz w:val="24"/>
          <w:szCs w:val="24"/>
        </w:rPr>
        <w:t xml:space="preserve">28/6/2011, </w:t>
      </w:r>
      <w:proofErr w:type="spellStart"/>
      <w:r w:rsidR="0016620A" w:rsidRPr="000C0568">
        <w:rPr>
          <w:sz w:val="24"/>
          <w:szCs w:val="24"/>
        </w:rPr>
        <w:t>DJe</w:t>
      </w:r>
      <w:proofErr w:type="spellEnd"/>
      <w:r w:rsidR="0016620A" w:rsidRPr="000C0568">
        <w:rPr>
          <w:sz w:val="24"/>
          <w:szCs w:val="24"/>
        </w:rPr>
        <w:t xml:space="preserve"> 3/8/2011; </w:t>
      </w:r>
      <w:proofErr w:type="spellStart"/>
      <w:r w:rsidR="0016620A" w:rsidRPr="000C0568">
        <w:rPr>
          <w:sz w:val="24"/>
          <w:szCs w:val="24"/>
        </w:rPr>
        <w:t>AgRg</w:t>
      </w:r>
      <w:proofErr w:type="spellEnd"/>
      <w:r w:rsidR="0016620A" w:rsidRPr="000C0568">
        <w:rPr>
          <w:sz w:val="24"/>
          <w:szCs w:val="24"/>
        </w:rPr>
        <w:t xml:space="preserve"> no </w:t>
      </w:r>
      <w:proofErr w:type="spellStart"/>
      <w:r w:rsidR="0016620A" w:rsidRPr="000C0568">
        <w:rPr>
          <w:sz w:val="24"/>
          <w:szCs w:val="24"/>
        </w:rPr>
        <w:t>REsp</w:t>
      </w:r>
      <w:proofErr w:type="spellEnd"/>
      <w:r w:rsidR="0016620A" w:rsidRPr="000C0568">
        <w:rPr>
          <w:sz w:val="24"/>
          <w:szCs w:val="24"/>
        </w:rPr>
        <w:t xml:space="preserve"> 1</w:t>
      </w:r>
      <w:r w:rsidR="00CF0329">
        <w:rPr>
          <w:sz w:val="24"/>
          <w:szCs w:val="24"/>
        </w:rPr>
        <w:t>.</w:t>
      </w:r>
      <w:r w:rsidR="0016620A" w:rsidRPr="000C0568">
        <w:rPr>
          <w:sz w:val="24"/>
          <w:szCs w:val="24"/>
        </w:rPr>
        <w:t>170</w:t>
      </w:r>
      <w:r w:rsidR="00CF0329">
        <w:rPr>
          <w:sz w:val="24"/>
          <w:szCs w:val="24"/>
        </w:rPr>
        <w:t>.</w:t>
      </w:r>
      <w:r w:rsidR="0016620A" w:rsidRPr="000C0568">
        <w:rPr>
          <w:sz w:val="24"/>
          <w:szCs w:val="24"/>
        </w:rPr>
        <w:t>901/SC, Quinta Turma, Rel. Min. Laurita Vaz, j.</w:t>
      </w:r>
      <w:r w:rsidR="00CF0329">
        <w:rPr>
          <w:sz w:val="24"/>
          <w:szCs w:val="24"/>
        </w:rPr>
        <w:t xml:space="preserve"> </w:t>
      </w:r>
      <w:r w:rsidR="0016620A" w:rsidRPr="000C0568">
        <w:rPr>
          <w:sz w:val="24"/>
          <w:szCs w:val="24"/>
        </w:rPr>
        <w:t xml:space="preserve">25/9/2012, </w:t>
      </w:r>
      <w:proofErr w:type="spellStart"/>
      <w:r w:rsidR="0016620A" w:rsidRPr="000C0568">
        <w:rPr>
          <w:sz w:val="24"/>
          <w:szCs w:val="24"/>
        </w:rPr>
        <w:t>DJe</w:t>
      </w:r>
      <w:proofErr w:type="spellEnd"/>
      <w:r w:rsidR="0016620A" w:rsidRPr="000C0568">
        <w:rPr>
          <w:sz w:val="24"/>
          <w:szCs w:val="24"/>
        </w:rPr>
        <w:t xml:space="preserve"> 2/10/2012).</w:t>
      </w:r>
    </w:p>
    <w:p w:rsidR="0016620A" w:rsidRDefault="00BA75D2" w:rsidP="00BA75D2">
      <w:pPr>
        <w:autoSpaceDE w:val="0"/>
        <w:autoSpaceDN w:val="0"/>
        <w:adjustRightInd w:val="0"/>
        <w:spacing w:after="200" w:line="360" w:lineRule="auto"/>
        <w:jc w:val="both"/>
        <w:rPr>
          <w:sz w:val="24"/>
          <w:szCs w:val="24"/>
        </w:rPr>
      </w:pPr>
      <w:r>
        <w:rPr>
          <w:sz w:val="24"/>
          <w:szCs w:val="24"/>
        </w:rPr>
        <w:t>37.</w:t>
      </w:r>
      <w:r>
        <w:rPr>
          <w:sz w:val="24"/>
          <w:szCs w:val="24"/>
        </w:rPr>
        <w:tab/>
      </w:r>
      <w:r>
        <w:rPr>
          <w:sz w:val="24"/>
          <w:szCs w:val="24"/>
        </w:rPr>
        <w:tab/>
      </w:r>
      <w:r w:rsidR="0016620A" w:rsidRPr="000C0568">
        <w:rPr>
          <w:sz w:val="24"/>
          <w:szCs w:val="24"/>
        </w:rPr>
        <w:t>Com efeito, a própria Lei n</w:t>
      </w:r>
      <w:r w:rsidR="001F6882">
        <w:rPr>
          <w:sz w:val="24"/>
          <w:szCs w:val="24"/>
        </w:rPr>
        <w:t>.</w:t>
      </w:r>
      <w:r w:rsidR="0016620A" w:rsidRPr="000C0568">
        <w:rPr>
          <w:sz w:val="24"/>
          <w:szCs w:val="24"/>
        </w:rPr>
        <w:t xml:space="preserve"> 3.807, de 26/8/1960, em seu art.162, assegura a possibilidade de se reconhecer como especiais trabalhos prestados em momento anterior </w:t>
      </w:r>
      <w:r w:rsidR="001F6882">
        <w:rPr>
          <w:sz w:val="24"/>
          <w:szCs w:val="24"/>
        </w:rPr>
        <w:t>a</w:t>
      </w:r>
      <w:r w:rsidR="0016620A" w:rsidRPr="000C0568">
        <w:rPr>
          <w:sz w:val="24"/>
          <w:szCs w:val="24"/>
        </w:rPr>
        <w:t xml:space="preserve"> sua edição ao estabelecer que aos “atuais beneficiários, segurados e dependentes das instituições de previdência social, ficam assegurados todos os direitos outorgados pelas respectivas legislações salvo se mais vantajosos os da presente lei”.</w:t>
      </w:r>
    </w:p>
    <w:p w:rsidR="0016620A" w:rsidRDefault="00BA75D2" w:rsidP="00BA75D2">
      <w:pPr>
        <w:autoSpaceDE w:val="0"/>
        <w:autoSpaceDN w:val="0"/>
        <w:adjustRightInd w:val="0"/>
        <w:spacing w:after="200" w:line="360" w:lineRule="auto"/>
        <w:jc w:val="both"/>
        <w:rPr>
          <w:sz w:val="24"/>
          <w:szCs w:val="24"/>
        </w:rPr>
      </w:pPr>
      <w:r>
        <w:rPr>
          <w:sz w:val="24"/>
          <w:szCs w:val="24"/>
        </w:rPr>
        <w:t>38.</w:t>
      </w:r>
      <w:r>
        <w:rPr>
          <w:sz w:val="24"/>
          <w:szCs w:val="24"/>
        </w:rPr>
        <w:tab/>
      </w:r>
      <w:r>
        <w:rPr>
          <w:sz w:val="24"/>
          <w:szCs w:val="24"/>
        </w:rPr>
        <w:tab/>
      </w:r>
      <w:r w:rsidR="0016620A" w:rsidRPr="000C0568">
        <w:rPr>
          <w:sz w:val="24"/>
          <w:szCs w:val="24"/>
        </w:rPr>
        <w:t xml:space="preserve">Destarte, a caracterização de atividades especiais terá por base critérios técnicos que levem em consideração a saúde do trabalhador, os quais não </w:t>
      </w:r>
      <w:r w:rsidR="0016620A" w:rsidRPr="000C0568">
        <w:rPr>
          <w:sz w:val="24"/>
          <w:szCs w:val="24"/>
        </w:rPr>
        <w:lastRenderedPageBreak/>
        <w:t>se encontram apenas nos regulamentos previdenciários, mas também na técnica médica e na legislação trabalhista.</w:t>
      </w:r>
    </w:p>
    <w:p w:rsidR="0016620A" w:rsidRPr="000C0568" w:rsidRDefault="00BA75D2" w:rsidP="00BA75D2">
      <w:pPr>
        <w:autoSpaceDE w:val="0"/>
        <w:autoSpaceDN w:val="0"/>
        <w:adjustRightInd w:val="0"/>
        <w:spacing w:after="200" w:line="360" w:lineRule="auto"/>
        <w:jc w:val="both"/>
        <w:rPr>
          <w:sz w:val="24"/>
          <w:szCs w:val="24"/>
        </w:rPr>
      </w:pPr>
      <w:r>
        <w:rPr>
          <w:sz w:val="24"/>
          <w:szCs w:val="24"/>
        </w:rPr>
        <w:t>39.</w:t>
      </w:r>
      <w:r>
        <w:rPr>
          <w:sz w:val="24"/>
          <w:szCs w:val="24"/>
        </w:rPr>
        <w:tab/>
      </w:r>
      <w:r>
        <w:rPr>
          <w:sz w:val="24"/>
          <w:szCs w:val="24"/>
        </w:rPr>
        <w:tab/>
      </w:r>
      <w:r w:rsidR="0016620A" w:rsidRPr="000C0568">
        <w:rPr>
          <w:sz w:val="24"/>
          <w:szCs w:val="24"/>
        </w:rPr>
        <w:t>O enquadramento das atividades como especiais observa os seguintes períodos de regência:</w:t>
      </w:r>
    </w:p>
    <w:p w:rsidR="0016620A" w:rsidRPr="000C0568" w:rsidRDefault="0016620A" w:rsidP="00FE4164">
      <w:pPr>
        <w:pStyle w:val="PargrafodaLista"/>
        <w:numPr>
          <w:ilvl w:val="0"/>
          <w:numId w:val="2"/>
        </w:numPr>
        <w:autoSpaceDE w:val="0"/>
        <w:autoSpaceDN w:val="0"/>
        <w:adjustRightInd w:val="0"/>
        <w:spacing w:after="0" w:line="240" w:lineRule="auto"/>
        <w:jc w:val="both"/>
        <w:rPr>
          <w:sz w:val="24"/>
          <w:szCs w:val="24"/>
        </w:rPr>
      </w:pPr>
      <w:r w:rsidRPr="000C0568">
        <w:rPr>
          <w:sz w:val="24"/>
          <w:szCs w:val="24"/>
        </w:rPr>
        <w:t>No período até 28/2/1979 (data imediatamente anterior à vigência do Decreto n</w:t>
      </w:r>
      <w:r w:rsidR="00061801">
        <w:rPr>
          <w:sz w:val="24"/>
          <w:szCs w:val="24"/>
        </w:rPr>
        <w:t>.</w:t>
      </w:r>
      <w:r w:rsidRPr="000C0568">
        <w:rPr>
          <w:sz w:val="24"/>
          <w:szCs w:val="24"/>
        </w:rPr>
        <w:t xml:space="preserve"> 83.080, de 24/1/1979): atividades e agentes nocivos elencados no anexo ao Decreto n</w:t>
      </w:r>
      <w:r w:rsidR="00061801">
        <w:rPr>
          <w:sz w:val="24"/>
          <w:szCs w:val="24"/>
        </w:rPr>
        <w:t>.</w:t>
      </w:r>
      <w:r w:rsidRPr="000C0568">
        <w:rPr>
          <w:sz w:val="24"/>
          <w:szCs w:val="24"/>
        </w:rPr>
        <w:t xml:space="preserve"> 53.831, de 25/3/1964;</w:t>
      </w:r>
    </w:p>
    <w:p w:rsidR="0016620A" w:rsidRPr="000C0568" w:rsidRDefault="0016620A" w:rsidP="00E24902">
      <w:pPr>
        <w:autoSpaceDE w:val="0"/>
        <w:autoSpaceDN w:val="0"/>
        <w:adjustRightInd w:val="0"/>
        <w:spacing w:after="0" w:line="240" w:lineRule="auto"/>
        <w:ind w:firstLine="709"/>
        <w:jc w:val="both"/>
        <w:rPr>
          <w:sz w:val="24"/>
          <w:szCs w:val="24"/>
        </w:rPr>
      </w:pPr>
    </w:p>
    <w:p w:rsidR="0016620A" w:rsidRPr="000C0568" w:rsidRDefault="0016620A" w:rsidP="00FE4164">
      <w:pPr>
        <w:pStyle w:val="PargrafodaLista"/>
        <w:numPr>
          <w:ilvl w:val="0"/>
          <w:numId w:val="2"/>
        </w:numPr>
        <w:autoSpaceDE w:val="0"/>
        <w:autoSpaceDN w:val="0"/>
        <w:adjustRightInd w:val="0"/>
        <w:spacing w:after="0" w:line="240" w:lineRule="auto"/>
        <w:jc w:val="both"/>
        <w:rPr>
          <w:sz w:val="24"/>
          <w:szCs w:val="24"/>
        </w:rPr>
      </w:pPr>
      <w:r w:rsidRPr="000C0568">
        <w:rPr>
          <w:sz w:val="24"/>
          <w:szCs w:val="24"/>
        </w:rPr>
        <w:t>No período de 1/3/1979 a 5/3/1997 (vigência do Decreto n</w:t>
      </w:r>
      <w:r w:rsidR="00061801">
        <w:rPr>
          <w:sz w:val="24"/>
          <w:szCs w:val="24"/>
        </w:rPr>
        <w:t>.</w:t>
      </w:r>
      <w:r w:rsidRPr="000C0568">
        <w:rPr>
          <w:sz w:val="24"/>
          <w:szCs w:val="24"/>
        </w:rPr>
        <w:t xml:space="preserve"> 83.080, de 24/1/1979, até a data imediatamente anterior à vigência do Decreto n</w:t>
      </w:r>
      <w:r w:rsidR="00061801">
        <w:rPr>
          <w:sz w:val="24"/>
          <w:szCs w:val="24"/>
        </w:rPr>
        <w:t>.</w:t>
      </w:r>
      <w:r w:rsidRPr="000C0568">
        <w:rPr>
          <w:sz w:val="24"/>
          <w:szCs w:val="24"/>
        </w:rPr>
        <w:t xml:space="preserve"> 2.172, de 5/3/1997): atividades e agentes nocivos elencados no anexo ao Decreto n</w:t>
      </w:r>
      <w:r w:rsidR="00061801">
        <w:rPr>
          <w:sz w:val="24"/>
          <w:szCs w:val="24"/>
        </w:rPr>
        <w:t>.</w:t>
      </w:r>
      <w:r w:rsidRPr="000C0568">
        <w:rPr>
          <w:sz w:val="24"/>
          <w:szCs w:val="24"/>
        </w:rPr>
        <w:t xml:space="preserve"> 53.831, de 25/3/1964, e nos anexos I e II ao Decreto n</w:t>
      </w:r>
      <w:r w:rsidR="00061801">
        <w:rPr>
          <w:sz w:val="24"/>
          <w:szCs w:val="24"/>
        </w:rPr>
        <w:t>.</w:t>
      </w:r>
      <w:r w:rsidRPr="000C0568">
        <w:rPr>
          <w:sz w:val="24"/>
          <w:szCs w:val="24"/>
        </w:rPr>
        <w:t xml:space="preserve"> 83.080, de 24/1/1979. Por força do art.</w:t>
      </w:r>
      <w:r w:rsidR="00061801">
        <w:rPr>
          <w:sz w:val="24"/>
          <w:szCs w:val="24"/>
        </w:rPr>
        <w:t xml:space="preserve"> </w:t>
      </w:r>
      <w:r w:rsidRPr="000C0568">
        <w:rPr>
          <w:sz w:val="24"/>
          <w:szCs w:val="24"/>
        </w:rPr>
        <w:t>295 do Decreto 611, de 21/7/1992, foi estabelecido que as disposições contempladas em ambos os regulamentos mencionados aplicar-se-iam subsidiariamente até a publicação da Consolidação dos Regulamentos dos Benefícios da Previdência Social (Decreto n</w:t>
      </w:r>
      <w:r w:rsidR="00061801">
        <w:rPr>
          <w:sz w:val="24"/>
          <w:szCs w:val="24"/>
        </w:rPr>
        <w:t>.</w:t>
      </w:r>
      <w:r w:rsidRPr="000C0568">
        <w:rPr>
          <w:sz w:val="24"/>
          <w:szCs w:val="24"/>
        </w:rPr>
        <w:t xml:space="preserve"> 2.172, de 5/3/1997);</w:t>
      </w:r>
    </w:p>
    <w:p w:rsidR="0016620A" w:rsidRPr="000C0568" w:rsidRDefault="0016620A" w:rsidP="00E24902">
      <w:pPr>
        <w:autoSpaceDE w:val="0"/>
        <w:autoSpaceDN w:val="0"/>
        <w:adjustRightInd w:val="0"/>
        <w:spacing w:after="0" w:line="240" w:lineRule="auto"/>
        <w:ind w:firstLine="709"/>
        <w:jc w:val="both"/>
        <w:rPr>
          <w:sz w:val="24"/>
          <w:szCs w:val="24"/>
        </w:rPr>
      </w:pPr>
    </w:p>
    <w:p w:rsidR="0016620A" w:rsidRPr="000C0568" w:rsidRDefault="0016620A" w:rsidP="00FE4164">
      <w:pPr>
        <w:pStyle w:val="PargrafodaLista"/>
        <w:numPr>
          <w:ilvl w:val="0"/>
          <w:numId w:val="2"/>
        </w:numPr>
        <w:autoSpaceDE w:val="0"/>
        <w:autoSpaceDN w:val="0"/>
        <w:adjustRightInd w:val="0"/>
        <w:spacing w:after="0" w:line="240" w:lineRule="auto"/>
        <w:jc w:val="both"/>
        <w:rPr>
          <w:sz w:val="24"/>
          <w:szCs w:val="24"/>
        </w:rPr>
      </w:pPr>
      <w:r w:rsidRPr="000C0568">
        <w:rPr>
          <w:sz w:val="24"/>
          <w:szCs w:val="24"/>
        </w:rPr>
        <w:t>No período de 6/3/1997 a 6/5/1999 (vigência do Decreto n</w:t>
      </w:r>
      <w:r w:rsidR="00061801">
        <w:rPr>
          <w:sz w:val="24"/>
          <w:szCs w:val="24"/>
        </w:rPr>
        <w:t>.</w:t>
      </w:r>
      <w:r w:rsidRPr="000C0568">
        <w:rPr>
          <w:sz w:val="24"/>
          <w:szCs w:val="24"/>
        </w:rPr>
        <w:t xml:space="preserve"> 2.172, de 5/3/1997, até a data imediatamente anterior à vigência do Decreto n</w:t>
      </w:r>
      <w:r w:rsidR="00061801">
        <w:rPr>
          <w:sz w:val="24"/>
          <w:szCs w:val="24"/>
        </w:rPr>
        <w:t>.</w:t>
      </w:r>
      <w:r w:rsidRPr="000C0568">
        <w:rPr>
          <w:sz w:val="24"/>
          <w:szCs w:val="24"/>
        </w:rPr>
        <w:t xml:space="preserve"> 3.048, de 6/5/1999): agentes nocivos elencados no anexo IV ao Decreto n</w:t>
      </w:r>
      <w:r w:rsidR="00061801">
        <w:rPr>
          <w:sz w:val="24"/>
          <w:szCs w:val="24"/>
        </w:rPr>
        <w:t>.</w:t>
      </w:r>
      <w:r w:rsidRPr="000C0568">
        <w:rPr>
          <w:sz w:val="24"/>
          <w:szCs w:val="24"/>
        </w:rPr>
        <w:t xml:space="preserve"> 2.172, de 5/3/1997;</w:t>
      </w:r>
    </w:p>
    <w:p w:rsidR="0016620A" w:rsidRPr="000C0568" w:rsidRDefault="0016620A" w:rsidP="00E24902">
      <w:pPr>
        <w:autoSpaceDE w:val="0"/>
        <w:autoSpaceDN w:val="0"/>
        <w:adjustRightInd w:val="0"/>
        <w:spacing w:after="0" w:line="240" w:lineRule="auto"/>
        <w:ind w:firstLine="709"/>
        <w:jc w:val="both"/>
        <w:rPr>
          <w:sz w:val="24"/>
          <w:szCs w:val="24"/>
        </w:rPr>
      </w:pPr>
    </w:p>
    <w:p w:rsidR="0016620A" w:rsidRPr="000C0568" w:rsidRDefault="0016620A" w:rsidP="00FE4164">
      <w:pPr>
        <w:pStyle w:val="PargrafodaLista"/>
        <w:numPr>
          <w:ilvl w:val="0"/>
          <w:numId w:val="2"/>
        </w:numPr>
        <w:autoSpaceDE w:val="0"/>
        <w:autoSpaceDN w:val="0"/>
        <w:adjustRightInd w:val="0"/>
        <w:spacing w:after="0" w:line="240" w:lineRule="auto"/>
        <w:jc w:val="both"/>
        <w:rPr>
          <w:sz w:val="24"/>
          <w:szCs w:val="24"/>
        </w:rPr>
      </w:pPr>
      <w:r w:rsidRPr="000C0568">
        <w:rPr>
          <w:sz w:val="24"/>
          <w:szCs w:val="24"/>
        </w:rPr>
        <w:t>No período de 7/5/1999 em diante (vigência do Decreto n</w:t>
      </w:r>
      <w:r w:rsidR="00061801">
        <w:rPr>
          <w:sz w:val="24"/>
          <w:szCs w:val="24"/>
        </w:rPr>
        <w:t>.</w:t>
      </w:r>
      <w:r w:rsidRPr="000C0568">
        <w:rPr>
          <w:sz w:val="24"/>
          <w:szCs w:val="24"/>
        </w:rPr>
        <w:t xml:space="preserve"> 3.048, de 06/05/1999): agentes nocivos elencados no anexo IV ao Decreto</w:t>
      </w:r>
      <w:r w:rsidR="00061801">
        <w:rPr>
          <w:sz w:val="24"/>
          <w:szCs w:val="24"/>
        </w:rPr>
        <w:t xml:space="preserve"> n.</w:t>
      </w:r>
      <w:r w:rsidRPr="000C0568">
        <w:rPr>
          <w:sz w:val="24"/>
          <w:szCs w:val="24"/>
        </w:rPr>
        <w:t xml:space="preserve"> 3.048, de 6/5/1999.</w:t>
      </w:r>
    </w:p>
    <w:p w:rsidR="0016620A" w:rsidRPr="000C0568" w:rsidRDefault="0016620A" w:rsidP="008E7289">
      <w:pPr>
        <w:autoSpaceDE w:val="0"/>
        <w:autoSpaceDN w:val="0"/>
        <w:adjustRightInd w:val="0"/>
        <w:spacing w:after="200" w:line="360" w:lineRule="auto"/>
        <w:jc w:val="both"/>
        <w:rPr>
          <w:sz w:val="24"/>
          <w:szCs w:val="24"/>
        </w:rPr>
      </w:pPr>
    </w:p>
    <w:p w:rsidR="0016620A" w:rsidRDefault="008E7289" w:rsidP="008E7289">
      <w:pPr>
        <w:autoSpaceDE w:val="0"/>
        <w:autoSpaceDN w:val="0"/>
        <w:adjustRightInd w:val="0"/>
        <w:spacing w:after="200" w:line="360" w:lineRule="auto"/>
        <w:jc w:val="both"/>
        <w:rPr>
          <w:sz w:val="24"/>
          <w:szCs w:val="24"/>
        </w:rPr>
      </w:pPr>
      <w:r>
        <w:rPr>
          <w:sz w:val="24"/>
          <w:szCs w:val="24"/>
        </w:rPr>
        <w:t>40.</w:t>
      </w:r>
      <w:r>
        <w:rPr>
          <w:sz w:val="24"/>
          <w:szCs w:val="24"/>
        </w:rPr>
        <w:tab/>
      </w:r>
      <w:r>
        <w:rPr>
          <w:sz w:val="24"/>
          <w:szCs w:val="24"/>
        </w:rPr>
        <w:tab/>
      </w:r>
      <w:r w:rsidR="00FE4164" w:rsidRPr="000C0568">
        <w:rPr>
          <w:sz w:val="24"/>
          <w:szCs w:val="24"/>
        </w:rPr>
        <w:t>A</w:t>
      </w:r>
      <w:r w:rsidR="0016620A" w:rsidRPr="000C0568">
        <w:rPr>
          <w:sz w:val="24"/>
          <w:szCs w:val="24"/>
        </w:rPr>
        <w:t xml:space="preserve"> presunção legal de especialidade pelo enquadramento da ocupação do trabalhador não mais é possível após a edição da Lei n° 9.032, de 28/04/1995, que passou a exigir comprovação de exposição a agentes nocivos químicos, físicos, biológicos, ou associação de agentes prejudiciais à saúde ou à integridade física.</w:t>
      </w:r>
    </w:p>
    <w:p w:rsidR="0016620A" w:rsidRDefault="008E7289" w:rsidP="008E7289">
      <w:pPr>
        <w:autoSpaceDE w:val="0"/>
        <w:autoSpaceDN w:val="0"/>
        <w:adjustRightInd w:val="0"/>
        <w:spacing w:after="200" w:line="360" w:lineRule="auto"/>
        <w:jc w:val="both"/>
        <w:rPr>
          <w:sz w:val="24"/>
          <w:szCs w:val="24"/>
        </w:rPr>
      </w:pPr>
      <w:r>
        <w:rPr>
          <w:sz w:val="24"/>
          <w:szCs w:val="24"/>
        </w:rPr>
        <w:t>41.</w:t>
      </w:r>
      <w:r>
        <w:rPr>
          <w:sz w:val="24"/>
          <w:szCs w:val="24"/>
        </w:rPr>
        <w:tab/>
      </w:r>
      <w:r>
        <w:rPr>
          <w:sz w:val="24"/>
          <w:szCs w:val="24"/>
        </w:rPr>
        <w:tab/>
      </w:r>
      <w:r w:rsidR="0016620A" w:rsidRPr="000C0568">
        <w:rPr>
          <w:sz w:val="24"/>
          <w:szCs w:val="24"/>
        </w:rPr>
        <w:t xml:space="preserve">Tal inovação, contudo, não significa que será desconsiderada como especial a descrição detalhada de desempenho de uma atividade que </w:t>
      </w:r>
      <w:r w:rsidR="0016620A" w:rsidRPr="000C0568">
        <w:rPr>
          <w:sz w:val="24"/>
          <w:szCs w:val="24"/>
        </w:rPr>
        <w:lastRenderedPageBreak/>
        <w:t xml:space="preserve">manifestamente importa exposição a agentes nocivos, insalubridade, penosidade ou periculosidade, segundo os regulamentos previdenciários ou </w:t>
      </w:r>
      <w:r w:rsidR="00061801">
        <w:rPr>
          <w:sz w:val="24"/>
          <w:szCs w:val="24"/>
        </w:rPr>
        <w:t>n</w:t>
      </w:r>
      <w:r w:rsidR="0016620A" w:rsidRPr="000C0568">
        <w:rPr>
          <w:sz w:val="24"/>
          <w:szCs w:val="24"/>
        </w:rPr>
        <w:t xml:space="preserve">ormas </w:t>
      </w:r>
      <w:r w:rsidR="00061801">
        <w:rPr>
          <w:sz w:val="24"/>
          <w:szCs w:val="24"/>
        </w:rPr>
        <w:t>r</w:t>
      </w:r>
      <w:r w:rsidR="0016620A" w:rsidRPr="000C0568">
        <w:rPr>
          <w:sz w:val="24"/>
          <w:szCs w:val="24"/>
        </w:rPr>
        <w:t xml:space="preserve">egulamentadoras do Ministério do Trabalho e Emprego, por meio de documento considerado apto pela legislação de regência. </w:t>
      </w:r>
    </w:p>
    <w:p w:rsidR="00061801" w:rsidRDefault="00061801" w:rsidP="008E7289">
      <w:pPr>
        <w:autoSpaceDE w:val="0"/>
        <w:autoSpaceDN w:val="0"/>
        <w:adjustRightInd w:val="0"/>
        <w:spacing w:after="200" w:line="360" w:lineRule="auto"/>
        <w:jc w:val="both"/>
        <w:rPr>
          <w:sz w:val="24"/>
          <w:szCs w:val="24"/>
        </w:rPr>
      </w:pPr>
    </w:p>
    <w:p w:rsidR="00BC40BD" w:rsidRPr="008E7289" w:rsidRDefault="008E7289" w:rsidP="008E7289">
      <w:pPr>
        <w:autoSpaceDE w:val="0"/>
        <w:autoSpaceDN w:val="0"/>
        <w:adjustRightInd w:val="0"/>
        <w:spacing w:after="200" w:line="360" w:lineRule="auto"/>
        <w:jc w:val="both"/>
        <w:rPr>
          <w:b/>
          <w:sz w:val="24"/>
          <w:szCs w:val="24"/>
        </w:rPr>
      </w:pPr>
      <w:r>
        <w:rPr>
          <w:sz w:val="24"/>
          <w:szCs w:val="24"/>
        </w:rPr>
        <w:t>42.</w:t>
      </w:r>
      <w:r>
        <w:rPr>
          <w:sz w:val="24"/>
          <w:szCs w:val="24"/>
        </w:rPr>
        <w:tab/>
      </w:r>
      <w:r>
        <w:rPr>
          <w:sz w:val="24"/>
          <w:szCs w:val="24"/>
        </w:rPr>
        <w:tab/>
      </w:r>
      <w:r w:rsidR="00BC40BD" w:rsidRPr="008E7289">
        <w:rPr>
          <w:b/>
          <w:sz w:val="24"/>
          <w:szCs w:val="24"/>
        </w:rPr>
        <w:t>Enquadramento de agente nocivo específico: Ruído</w:t>
      </w:r>
    </w:p>
    <w:p w:rsidR="0016620A" w:rsidRDefault="008E7289" w:rsidP="008E7289">
      <w:pPr>
        <w:autoSpaceDE w:val="0"/>
        <w:autoSpaceDN w:val="0"/>
        <w:adjustRightInd w:val="0"/>
        <w:spacing w:after="200" w:line="360" w:lineRule="auto"/>
        <w:jc w:val="both"/>
        <w:rPr>
          <w:sz w:val="24"/>
          <w:szCs w:val="24"/>
        </w:rPr>
      </w:pPr>
      <w:r>
        <w:rPr>
          <w:sz w:val="24"/>
          <w:szCs w:val="24"/>
        </w:rPr>
        <w:t>43.</w:t>
      </w:r>
      <w:r>
        <w:rPr>
          <w:sz w:val="24"/>
          <w:szCs w:val="24"/>
        </w:rPr>
        <w:tab/>
      </w:r>
      <w:r>
        <w:rPr>
          <w:sz w:val="24"/>
          <w:szCs w:val="24"/>
        </w:rPr>
        <w:tab/>
      </w:r>
      <w:r w:rsidR="0016620A" w:rsidRPr="000C0568">
        <w:rPr>
          <w:sz w:val="24"/>
          <w:szCs w:val="24"/>
        </w:rPr>
        <w:t>A legislação contemplava</w:t>
      </w:r>
      <w:r w:rsidR="00BC40BD" w:rsidRPr="000C0568">
        <w:rPr>
          <w:sz w:val="24"/>
          <w:szCs w:val="24"/>
        </w:rPr>
        <w:t>,</w:t>
      </w:r>
      <w:r w:rsidR="0016620A" w:rsidRPr="000C0568">
        <w:rPr>
          <w:sz w:val="24"/>
          <w:szCs w:val="24"/>
        </w:rPr>
        <w:t xml:space="preserve"> no item 1.1.6 do Anexo ao Decreto n</w:t>
      </w:r>
      <w:r w:rsidR="00061801">
        <w:rPr>
          <w:sz w:val="24"/>
          <w:szCs w:val="24"/>
        </w:rPr>
        <w:t>. 53.831, de 25/</w:t>
      </w:r>
      <w:r w:rsidR="0016620A" w:rsidRPr="000C0568">
        <w:rPr>
          <w:sz w:val="24"/>
          <w:szCs w:val="24"/>
        </w:rPr>
        <w:t>3/1964 e no item 1.1.5 do Anexo I do Decreto n</w:t>
      </w:r>
      <w:r w:rsidR="00061801">
        <w:rPr>
          <w:sz w:val="24"/>
          <w:szCs w:val="24"/>
        </w:rPr>
        <w:t>.</w:t>
      </w:r>
      <w:r w:rsidR="0016620A" w:rsidRPr="000C0568">
        <w:rPr>
          <w:sz w:val="24"/>
          <w:szCs w:val="24"/>
        </w:rPr>
        <w:t xml:space="preserve"> 83.080, de 24/1/1979, a atividade realizada em condições de exposição a ruídos acima de 80 decibéis e de 90 decibéis, respectivamente, como nociva à saúde. </w:t>
      </w:r>
    </w:p>
    <w:p w:rsidR="0016620A" w:rsidRDefault="008E7289" w:rsidP="008E7289">
      <w:pPr>
        <w:autoSpaceDE w:val="0"/>
        <w:autoSpaceDN w:val="0"/>
        <w:adjustRightInd w:val="0"/>
        <w:spacing w:after="200" w:line="360" w:lineRule="auto"/>
        <w:jc w:val="both"/>
        <w:rPr>
          <w:sz w:val="24"/>
          <w:szCs w:val="24"/>
        </w:rPr>
      </w:pPr>
      <w:r>
        <w:rPr>
          <w:sz w:val="24"/>
          <w:szCs w:val="24"/>
        </w:rPr>
        <w:t>44.</w:t>
      </w:r>
      <w:r>
        <w:rPr>
          <w:sz w:val="24"/>
          <w:szCs w:val="24"/>
        </w:rPr>
        <w:tab/>
      </w:r>
      <w:r>
        <w:rPr>
          <w:sz w:val="24"/>
          <w:szCs w:val="24"/>
        </w:rPr>
        <w:tab/>
      </w:r>
      <w:r w:rsidR="0016620A" w:rsidRPr="000C0568">
        <w:rPr>
          <w:sz w:val="24"/>
          <w:szCs w:val="24"/>
        </w:rPr>
        <w:t>Assinala-se, quanto aos limites mínimos fixados na referida regulamentação, que a própria autarquia previdenciária reconheceu o índice de 80 decibéis, em relação ao período anterior à edição do Decreto n</w:t>
      </w:r>
      <w:r w:rsidR="00BC40BD" w:rsidRPr="000C0568">
        <w:rPr>
          <w:sz w:val="24"/>
          <w:szCs w:val="24"/>
        </w:rPr>
        <w:t>.</w:t>
      </w:r>
      <w:r w:rsidR="0016620A" w:rsidRPr="000C0568">
        <w:rPr>
          <w:sz w:val="24"/>
          <w:szCs w:val="24"/>
        </w:rPr>
        <w:t xml:space="preserve"> 2.172, de 5/3/1997, consoante disposto no art. 173, inc</w:t>
      </w:r>
      <w:r w:rsidR="00061801">
        <w:rPr>
          <w:sz w:val="24"/>
          <w:szCs w:val="24"/>
        </w:rPr>
        <w:t>.</w:t>
      </w:r>
      <w:r w:rsidR="0016620A" w:rsidRPr="000C0568">
        <w:rPr>
          <w:sz w:val="24"/>
          <w:szCs w:val="24"/>
        </w:rPr>
        <w:t xml:space="preserve"> I, da Instrução Normativa INSS/DC n</w:t>
      </w:r>
      <w:r w:rsidR="00BC40BD" w:rsidRPr="000C0568">
        <w:rPr>
          <w:sz w:val="24"/>
          <w:szCs w:val="24"/>
        </w:rPr>
        <w:t>.</w:t>
      </w:r>
      <w:r w:rsidR="0016620A" w:rsidRPr="000C0568">
        <w:rPr>
          <w:sz w:val="24"/>
          <w:szCs w:val="24"/>
        </w:rPr>
        <w:t xml:space="preserve"> 57, de 10/10/2001, como limite mínimo de exposição ao ruído para estabelecer o caráter nocivo da atividade exercida. </w:t>
      </w:r>
    </w:p>
    <w:p w:rsidR="0016620A" w:rsidRDefault="008E7289" w:rsidP="008E7289">
      <w:pPr>
        <w:autoSpaceDE w:val="0"/>
        <w:autoSpaceDN w:val="0"/>
        <w:adjustRightInd w:val="0"/>
        <w:spacing w:after="200" w:line="360" w:lineRule="auto"/>
        <w:jc w:val="both"/>
        <w:rPr>
          <w:sz w:val="24"/>
          <w:szCs w:val="24"/>
        </w:rPr>
      </w:pPr>
      <w:r>
        <w:rPr>
          <w:sz w:val="24"/>
          <w:szCs w:val="24"/>
        </w:rPr>
        <w:t>45.</w:t>
      </w:r>
      <w:r>
        <w:rPr>
          <w:sz w:val="24"/>
          <w:szCs w:val="24"/>
        </w:rPr>
        <w:tab/>
      </w:r>
      <w:r>
        <w:rPr>
          <w:sz w:val="24"/>
          <w:szCs w:val="24"/>
        </w:rPr>
        <w:tab/>
      </w:r>
      <w:r w:rsidR="0016620A" w:rsidRPr="000C0568">
        <w:rPr>
          <w:sz w:val="24"/>
          <w:szCs w:val="24"/>
        </w:rPr>
        <w:t>Com o advento do Decreto n</w:t>
      </w:r>
      <w:r w:rsidR="00061801">
        <w:rPr>
          <w:sz w:val="24"/>
          <w:szCs w:val="24"/>
        </w:rPr>
        <w:t>.</w:t>
      </w:r>
      <w:r w:rsidR="0016620A" w:rsidRPr="000C0568">
        <w:rPr>
          <w:sz w:val="24"/>
          <w:szCs w:val="24"/>
        </w:rPr>
        <w:t xml:space="preserve"> 4.882, de 18/11/2003, o limite de exposição </w:t>
      </w:r>
      <w:r w:rsidR="00061801">
        <w:rPr>
          <w:sz w:val="24"/>
          <w:szCs w:val="24"/>
        </w:rPr>
        <w:t>à</w:t>
      </w:r>
      <w:r w:rsidR="0016620A" w:rsidRPr="000C0568">
        <w:rPr>
          <w:sz w:val="24"/>
          <w:szCs w:val="24"/>
        </w:rPr>
        <w:t xml:space="preserve"> intensidade de ruído, que havia sido estabelecido em 90 decibéis pelo item 2.0.1 do Anexo IV, dos Decretos n</w:t>
      </w:r>
      <w:r w:rsidR="00061801">
        <w:rPr>
          <w:sz w:val="24"/>
          <w:szCs w:val="24"/>
        </w:rPr>
        <w:t>.</w:t>
      </w:r>
      <w:r w:rsidR="0016620A" w:rsidRPr="000C0568">
        <w:rPr>
          <w:sz w:val="24"/>
          <w:szCs w:val="24"/>
        </w:rPr>
        <w:t xml:space="preserve"> 2.172, de 5/3/1997 e </w:t>
      </w:r>
      <w:r w:rsidR="00061801">
        <w:rPr>
          <w:sz w:val="24"/>
          <w:szCs w:val="24"/>
        </w:rPr>
        <w:t xml:space="preserve">n. </w:t>
      </w:r>
      <w:r w:rsidR="0016620A" w:rsidRPr="000C0568">
        <w:rPr>
          <w:sz w:val="24"/>
          <w:szCs w:val="24"/>
        </w:rPr>
        <w:t>3.048, de 6/5/1999, foi reduzido para 85 decibéis.</w:t>
      </w:r>
    </w:p>
    <w:p w:rsidR="0016620A" w:rsidRDefault="008E7289" w:rsidP="008E7289">
      <w:pPr>
        <w:autoSpaceDE w:val="0"/>
        <w:autoSpaceDN w:val="0"/>
        <w:adjustRightInd w:val="0"/>
        <w:spacing w:after="200" w:line="360" w:lineRule="auto"/>
        <w:jc w:val="both"/>
        <w:rPr>
          <w:sz w:val="24"/>
          <w:szCs w:val="24"/>
        </w:rPr>
      </w:pPr>
      <w:r>
        <w:rPr>
          <w:sz w:val="24"/>
          <w:szCs w:val="24"/>
        </w:rPr>
        <w:t>46.</w:t>
      </w:r>
      <w:r>
        <w:rPr>
          <w:sz w:val="24"/>
          <w:szCs w:val="24"/>
        </w:rPr>
        <w:tab/>
      </w:r>
      <w:r>
        <w:rPr>
          <w:sz w:val="24"/>
          <w:szCs w:val="24"/>
        </w:rPr>
        <w:tab/>
      </w:r>
      <w:r w:rsidR="0016620A" w:rsidRPr="000C0568">
        <w:rPr>
          <w:sz w:val="24"/>
          <w:szCs w:val="24"/>
        </w:rPr>
        <w:t>Saliente-se</w:t>
      </w:r>
      <w:r w:rsidR="009D0DFC" w:rsidRPr="000C0568">
        <w:rPr>
          <w:sz w:val="24"/>
          <w:szCs w:val="24"/>
        </w:rPr>
        <w:t>,</w:t>
      </w:r>
      <w:r w:rsidR="0016620A" w:rsidRPr="000C0568">
        <w:rPr>
          <w:sz w:val="24"/>
          <w:szCs w:val="24"/>
        </w:rPr>
        <w:t xml:space="preserve"> quanto aos limites de tolerância</w:t>
      </w:r>
      <w:r w:rsidR="009D0DFC" w:rsidRPr="000C0568">
        <w:rPr>
          <w:sz w:val="24"/>
          <w:szCs w:val="24"/>
        </w:rPr>
        <w:t>,</w:t>
      </w:r>
      <w:r w:rsidR="0016620A" w:rsidRPr="000C0568">
        <w:rPr>
          <w:sz w:val="24"/>
          <w:szCs w:val="24"/>
        </w:rPr>
        <w:t xml:space="preserve"> que</w:t>
      </w:r>
      <w:r w:rsidR="009D0DFC" w:rsidRPr="000C0568">
        <w:rPr>
          <w:sz w:val="24"/>
          <w:szCs w:val="24"/>
        </w:rPr>
        <w:t>,</w:t>
      </w:r>
      <w:r w:rsidR="0016620A" w:rsidRPr="000C0568">
        <w:rPr>
          <w:sz w:val="24"/>
          <w:szCs w:val="24"/>
        </w:rPr>
        <w:t xml:space="preserve"> no caso de ser atestado por laudo técnico ou formulário PPP</w:t>
      </w:r>
      <w:r w:rsidR="00061801">
        <w:rPr>
          <w:sz w:val="24"/>
          <w:szCs w:val="24"/>
        </w:rPr>
        <w:t>,</w:t>
      </w:r>
      <w:r w:rsidR="0016620A" w:rsidRPr="000C0568">
        <w:rPr>
          <w:sz w:val="24"/>
          <w:szCs w:val="24"/>
        </w:rPr>
        <w:t xml:space="preserve"> a exposição permanente a ruído em nível igual ao limite de tolerância, tal atividade será reconhecida como especial, pois a medição técnica da intensidade dos ruídos não é perfeitamente precisa, sendo certo que, matematicamente, aumentando-se a precisão da medição, será </w:t>
      </w:r>
      <w:r w:rsidR="0016620A" w:rsidRPr="000C0568">
        <w:rPr>
          <w:sz w:val="24"/>
          <w:szCs w:val="24"/>
        </w:rPr>
        <w:lastRenderedPageBreak/>
        <w:t>encontrado valor em casa decimal que dará conta de que a exposição ocorre em intensidade acima do limite estabelecido. Não à toa, vários julgados das Cortes Federais manifestam entendimento por se considerar especial a atividade em que haja exposição a intensidade de ruído em valor igual ou superior ao limite legal (Nesse sentido: TRF1, AC 00010530820074013815, Rel. Juiz Fed</w:t>
      </w:r>
      <w:r w:rsidR="00B77DF2">
        <w:rPr>
          <w:sz w:val="24"/>
          <w:szCs w:val="24"/>
        </w:rPr>
        <w:t>eral</w:t>
      </w:r>
      <w:r w:rsidR="0016620A" w:rsidRPr="000C0568">
        <w:rPr>
          <w:sz w:val="24"/>
          <w:szCs w:val="24"/>
        </w:rPr>
        <w:t xml:space="preserve"> Murilo Fernandes de Almeida, Primeira Câmara Regional Previdenciária de Minas Gerais, j. 1/2/2016, e-DJF1 5/4/2016; TRF3, APELREEX 00340586820094039999, Rel. Des</w:t>
      </w:r>
      <w:r w:rsidR="007D0D80">
        <w:rPr>
          <w:sz w:val="24"/>
          <w:szCs w:val="24"/>
        </w:rPr>
        <w:t>emb</w:t>
      </w:r>
      <w:r w:rsidR="0016620A" w:rsidRPr="000C0568">
        <w:rPr>
          <w:sz w:val="24"/>
          <w:szCs w:val="24"/>
        </w:rPr>
        <w:t>. Fed</w:t>
      </w:r>
      <w:r w:rsidR="007D0D80">
        <w:rPr>
          <w:sz w:val="24"/>
          <w:szCs w:val="24"/>
        </w:rPr>
        <w:t>eral</w:t>
      </w:r>
      <w:r w:rsidR="0016620A" w:rsidRPr="000C0568">
        <w:rPr>
          <w:sz w:val="24"/>
          <w:szCs w:val="24"/>
        </w:rPr>
        <w:t xml:space="preserve"> Fausto de </w:t>
      </w:r>
      <w:proofErr w:type="spellStart"/>
      <w:r w:rsidR="0016620A" w:rsidRPr="000C0568">
        <w:rPr>
          <w:sz w:val="24"/>
          <w:szCs w:val="24"/>
        </w:rPr>
        <w:t>Sanctis</w:t>
      </w:r>
      <w:proofErr w:type="spellEnd"/>
      <w:r w:rsidR="0016620A" w:rsidRPr="000C0568">
        <w:rPr>
          <w:sz w:val="24"/>
          <w:szCs w:val="24"/>
        </w:rPr>
        <w:t>, Sétima Turma, j. 30/11/2015, e-DJF3 3/12/2015; TRF3, AC 00383023520124039999, Rel. Des</w:t>
      </w:r>
      <w:r w:rsidR="007D0D80">
        <w:rPr>
          <w:sz w:val="24"/>
          <w:szCs w:val="24"/>
        </w:rPr>
        <w:t>emb</w:t>
      </w:r>
      <w:r w:rsidR="0016620A" w:rsidRPr="000C0568">
        <w:rPr>
          <w:sz w:val="24"/>
          <w:szCs w:val="24"/>
        </w:rPr>
        <w:t>. Fed</w:t>
      </w:r>
      <w:r w:rsidR="007D0D80">
        <w:rPr>
          <w:sz w:val="24"/>
          <w:szCs w:val="24"/>
        </w:rPr>
        <w:t>eral</w:t>
      </w:r>
      <w:r w:rsidR="0016620A" w:rsidRPr="000C0568">
        <w:rPr>
          <w:sz w:val="24"/>
          <w:szCs w:val="24"/>
        </w:rPr>
        <w:t xml:space="preserve"> Sergio Nascimento, Décima Turma, j. 13/8/2013, e-DJF3 21/8/2013).</w:t>
      </w:r>
    </w:p>
    <w:p w:rsidR="0016620A" w:rsidRDefault="008E7289" w:rsidP="008E7289">
      <w:pPr>
        <w:autoSpaceDE w:val="0"/>
        <w:autoSpaceDN w:val="0"/>
        <w:adjustRightInd w:val="0"/>
        <w:spacing w:after="200" w:line="360" w:lineRule="auto"/>
        <w:jc w:val="both"/>
        <w:rPr>
          <w:sz w:val="24"/>
          <w:szCs w:val="24"/>
        </w:rPr>
      </w:pPr>
      <w:r>
        <w:rPr>
          <w:sz w:val="24"/>
          <w:szCs w:val="24"/>
        </w:rPr>
        <w:t>47.</w:t>
      </w:r>
      <w:r>
        <w:rPr>
          <w:sz w:val="24"/>
          <w:szCs w:val="24"/>
        </w:rPr>
        <w:tab/>
      </w:r>
      <w:r>
        <w:rPr>
          <w:sz w:val="24"/>
          <w:szCs w:val="24"/>
        </w:rPr>
        <w:tab/>
      </w:r>
      <w:r w:rsidR="0016620A" w:rsidRPr="000C0568">
        <w:rPr>
          <w:sz w:val="24"/>
          <w:szCs w:val="24"/>
        </w:rPr>
        <w:t xml:space="preserve">De outra parte, em casos </w:t>
      </w:r>
      <w:r w:rsidR="00061801">
        <w:rPr>
          <w:sz w:val="24"/>
          <w:szCs w:val="24"/>
        </w:rPr>
        <w:t>nos quais</w:t>
      </w:r>
      <w:r w:rsidR="0016620A" w:rsidRPr="000C0568">
        <w:rPr>
          <w:sz w:val="24"/>
          <w:szCs w:val="24"/>
        </w:rPr>
        <w:t xml:space="preserve"> haja variação da intensidade de ruído em níveis acima e abaixo dos limites legais, considera-se que o nível de ruído médio tem o mesmo potencial de lesão auditiva que um nível constante de pressão sonora no mesmo intervalo de tempo, sendo o nível médio suficiente para comprovar a pressão sonora capaz de lesionar a saúde e justificar o reconhecimento da atividade como especial (Nesse sentido: TRF2, AC 00007410620124025116, Rel. Des</w:t>
      </w:r>
      <w:r w:rsidR="007D0D80">
        <w:rPr>
          <w:sz w:val="24"/>
          <w:szCs w:val="24"/>
        </w:rPr>
        <w:t>emb</w:t>
      </w:r>
      <w:r w:rsidR="0016620A" w:rsidRPr="000C0568">
        <w:rPr>
          <w:sz w:val="24"/>
          <w:szCs w:val="24"/>
        </w:rPr>
        <w:t>. Fed</w:t>
      </w:r>
      <w:r w:rsidR="007D0D80">
        <w:rPr>
          <w:sz w:val="24"/>
          <w:szCs w:val="24"/>
        </w:rPr>
        <w:t>eral</w:t>
      </w:r>
      <w:r w:rsidR="0016620A" w:rsidRPr="000C0568">
        <w:rPr>
          <w:sz w:val="24"/>
          <w:szCs w:val="24"/>
        </w:rPr>
        <w:t xml:space="preserve"> </w:t>
      </w:r>
      <w:proofErr w:type="spellStart"/>
      <w:r w:rsidR="0016620A" w:rsidRPr="000C0568">
        <w:rPr>
          <w:sz w:val="24"/>
          <w:szCs w:val="24"/>
        </w:rPr>
        <w:t>Messod</w:t>
      </w:r>
      <w:proofErr w:type="spellEnd"/>
      <w:r w:rsidR="0016620A" w:rsidRPr="000C0568">
        <w:rPr>
          <w:sz w:val="24"/>
          <w:szCs w:val="24"/>
        </w:rPr>
        <w:t xml:space="preserve"> Azulay Neto, Segunda Turma Especializada, j. 27/5/2015, </w:t>
      </w:r>
      <w:r w:rsidR="00061801">
        <w:rPr>
          <w:sz w:val="24"/>
          <w:szCs w:val="24"/>
        </w:rPr>
        <w:t>e</w:t>
      </w:r>
      <w:r w:rsidR="0016620A" w:rsidRPr="000C0568">
        <w:rPr>
          <w:sz w:val="24"/>
          <w:szCs w:val="24"/>
        </w:rPr>
        <w:t>-DJF2R 3/6/2015).</w:t>
      </w:r>
    </w:p>
    <w:p w:rsidR="0016620A" w:rsidRPr="000C0568" w:rsidRDefault="008E7289" w:rsidP="008E7289">
      <w:pPr>
        <w:autoSpaceDE w:val="0"/>
        <w:autoSpaceDN w:val="0"/>
        <w:adjustRightInd w:val="0"/>
        <w:spacing w:after="200" w:line="360" w:lineRule="auto"/>
        <w:jc w:val="both"/>
        <w:rPr>
          <w:sz w:val="24"/>
          <w:szCs w:val="24"/>
        </w:rPr>
      </w:pPr>
      <w:r>
        <w:rPr>
          <w:sz w:val="24"/>
          <w:szCs w:val="24"/>
        </w:rPr>
        <w:t>48.</w:t>
      </w:r>
      <w:r>
        <w:rPr>
          <w:sz w:val="24"/>
          <w:szCs w:val="24"/>
        </w:rPr>
        <w:tab/>
      </w:r>
      <w:r>
        <w:rPr>
          <w:sz w:val="24"/>
          <w:szCs w:val="24"/>
        </w:rPr>
        <w:tab/>
      </w:r>
      <w:r w:rsidR="009D0DFC" w:rsidRPr="000C0568">
        <w:rPr>
          <w:sz w:val="24"/>
          <w:szCs w:val="24"/>
        </w:rPr>
        <w:t>N</w:t>
      </w:r>
      <w:r w:rsidR="0016620A" w:rsidRPr="000C0568">
        <w:rPr>
          <w:sz w:val="24"/>
          <w:szCs w:val="24"/>
        </w:rPr>
        <w:t xml:space="preserve">o que toca à atenuação do agente agressivo ruído pelo uso de EPI (protetor auricular), no julgamento pelo </w:t>
      </w:r>
      <w:proofErr w:type="spellStart"/>
      <w:r w:rsidR="00061801">
        <w:rPr>
          <w:sz w:val="24"/>
          <w:szCs w:val="24"/>
        </w:rPr>
        <w:t>eg</w:t>
      </w:r>
      <w:proofErr w:type="spellEnd"/>
      <w:r w:rsidR="0016620A" w:rsidRPr="000C0568">
        <w:rPr>
          <w:sz w:val="24"/>
          <w:szCs w:val="24"/>
        </w:rPr>
        <w:t xml:space="preserve">. STF, do ARE 664335/SC (Rel. Min. Luiz </w:t>
      </w:r>
      <w:proofErr w:type="spellStart"/>
      <w:r w:rsidR="0016620A" w:rsidRPr="000C0568">
        <w:rPr>
          <w:sz w:val="24"/>
          <w:szCs w:val="24"/>
        </w:rPr>
        <w:t>Fux</w:t>
      </w:r>
      <w:proofErr w:type="spellEnd"/>
      <w:r w:rsidR="0016620A" w:rsidRPr="000C0568">
        <w:rPr>
          <w:sz w:val="24"/>
          <w:szCs w:val="24"/>
        </w:rPr>
        <w:t xml:space="preserve">, Tribunal Pleno, j. 4/12/2014, </w:t>
      </w:r>
      <w:proofErr w:type="spellStart"/>
      <w:r w:rsidR="0016620A" w:rsidRPr="000C0568">
        <w:rPr>
          <w:sz w:val="24"/>
          <w:szCs w:val="24"/>
        </w:rPr>
        <w:t>DJe</w:t>
      </w:r>
      <w:proofErr w:type="spellEnd"/>
      <w:r w:rsidR="0016620A" w:rsidRPr="000C0568">
        <w:rPr>
          <w:sz w:val="24"/>
          <w:szCs w:val="24"/>
        </w:rPr>
        <w:t xml:space="preserve"> 11/2/2015), ficou decidido que mesmo que a atenuação reduza a agressividade do ruído para níveis abaixo do limite de tolerância, não estará descaracterizada a especialidade da atividade, sob os seguintes fundamentos:</w:t>
      </w:r>
    </w:p>
    <w:p w:rsidR="0016620A" w:rsidRPr="000C0568" w:rsidRDefault="0016620A" w:rsidP="009D0DFC">
      <w:pPr>
        <w:autoSpaceDE w:val="0"/>
        <w:autoSpaceDN w:val="0"/>
        <w:adjustRightInd w:val="0"/>
        <w:spacing w:after="0" w:line="240" w:lineRule="auto"/>
        <w:ind w:left="709"/>
        <w:jc w:val="both"/>
        <w:rPr>
          <w:sz w:val="24"/>
          <w:szCs w:val="24"/>
        </w:rPr>
      </w:pPr>
      <w:r w:rsidRPr="000C0568">
        <w:rPr>
          <w:sz w:val="24"/>
          <w:szCs w:val="24"/>
        </w:rPr>
        <w:t xml:space="preserve">No que tange especificamente ao referido agente nocivo (ruído), a tese invocada cai por terra, na medida em que, apesar do uso de Equipamento de Proteção Individual (protetor auricular) reduzir a agressividade do ruído a um nível tolerável, até no mesmo patamar da normalidade, a potência do som </w:t>
      </w:r>
      <w:r w:rsidRPr="000C0568">
        <w:rPr>
          <w:sz w:val="24"/>
          <w:szCs w:val="24"/>
        </w:rPr>
        <w:lastRenderedPageBreak/>
        <w:t xml:space="preserve">em tais ambientes causa danos ao organismo que vão muito além daqueles   relacionados à perda das funções auditivas. Nesse sentido é a preciosa lição de Irineu Antônio </w:t>
      </w:r>
      <w:proofErr w:type="spellStart"/>
      <w:r w:rsidRPr="000C0568">
        <w:rPr>
          <w:sz w:val="24"/>
          <w:szCs w:val="24"/>
        </w:rPr>
        <w:t>Pedrotti</w:t>
      </w:r>
      <w:proofErr w:type="spellEnd"/>
      <w:r w:rsidRPr="000C0568">
        <w:rPr>
          <w:sz w:val="24"/>
          <w:szCs w:val="24"/>
        </w:rPr>
        <w:t xml:space="preserve">, </w:t>
      </w:r>
      <w:r w:rsidRPr="00DE56D2">
        <w:rPr>
          <w:i/>
          <w:sz w:val="24"/>
          <w:szCs w:val="24"/>
        </w:rPr>
        <w:t xml:space="preserve">in </w:t>
      </w:r>
      <w:proofErr w:type="spellStart"/>
      <w:r w:rsidRPr="00DE56D2">
        <w:rPr>
          <w:i/>
          <w:sz w:val="24"/>
          <w:szCs w:val="24"/>
        </w:rPr>
        <w:t>verbis</w:t>
      </w:r>
      <w:proofErr w:type="spellEnd"/>
      <w:r w:rsidRPr="000C0568">
        <w:rPr>
          <w:sz w:val="24"/>
          <w:szCs w:val="24"/>
        </w:rPr>
        <w:t>:</w:t>
      </w:r>
    </w:p>
    <w:p w:rsidR="0016620A" w:rsidRPr="000C0568" w:rsidRDefault="0016620A" w:rsidP="009D0DFC">
      <w:pPr>
        <w:autoSpaceDE w:val="0"/>
        <w:autoSpaceDN w:val="0"/>
        <w:adjustRightInd w:val="0"/>
        <w:spacing w:after="0" w:line="240" w:lineRule="auto"/>
        <w:ind w:left="709"/>
        <w:jc w:val="both"/>
        <w:rPr>
          <w:sz w:val="24"/>
          <w:szCs w:val="24"/>
        </w:rPr>
      </w:pPr>
    </w:p>
    <w:p w:rsidR="0016620A" w:rsidRPr="000C0568" w:rsidRDefault="0016620A" w:rsidP="009D0DFC">
      <w:pPr>
        <w:autoSpaceDE w:val="0"/>
        <w:autoSpaceDN w:val="0"/>
        <w:adjustRightInd w:val="0"/>
        <w:spacing w:after="0" w:line="240" w:lineRule="auto"/>
        <w:ind w:left="709"/>
        <w:jc w:val="both"/>
        <w:rPr>
          <w:sz w:val="24"/>
          <w:szCs w:val="24"/>
        </w:rPr>
      </w:pPr>
      <w:r w:rsidRPr="000C0568">
        <w:rPr>
          <w:sz w:val="24"/>
          <w:szCs w:val="24"/>
        </w:rPr>
        <w:t xml:space="preserve">"Lesões auditivas induzidas pelo ruído fazem surgir o zumbido, sintoma que permanece durante o resto da vida do segurado e, que, inevitavelmente, determinará alterações na esfera neurovegetativa e distúrbios do sono. Daí a fadiga que dificulta a sua produtividade. Os equipamentos contra ruído não são suficientes para evitar e deter a progressão dessas lesões auditivas originárias do ruído, porque somente protegem o ouvido dos sons que percorrem a via aérea. O ruído origina-se das vibrações transmitidas para o esqueleto craniano e através dessa via óssea atingem o ouvido interno, a cóclea e o órgão de </w:t>
      </w:r>
      <w:proofErr w:type="spellStart"/>
      <w:r w:rsidRPr="000C0568">
        <w:rPr>
          <w:sz w:val="24"/>
          <w:szCs w:val="24"/>
        </w:rPr>
        <w:t>Corti</w:t>
      </w:r>
      <w:proofErr w:type="spellEnd"/>
      <w:r w:rsidRPr="000C0568">
        <w:rPr>
          <w:sz w:val="24"/>
          <w:szCs w:val="24"/>
        </w:rPr>
        <w:t xml:space="preserve">." (Irineu Antônio </w:t>
      </w:r>
      <w:proofErr w:type="spellStart"/>
      <w:r w:rsidRPr="000C0568">
        <w:rPr>
          <w:sz w:val="24"/>
          <w:szCs w:val="24"/>
        </w:rPr>
        <w:t>Pedrotti</w:t>
      </w:r>
      <w:proofErr w:type="spellEnd"/>
      <w:r w:rsidRPr="000C0568">
        <w:rPr>
          <w:sz w:val="24"/>
          <w:szCs w:val="24"/>
        </w:rPr>
        <w:t>, Doenças Profissionais ou do Trabalho, LEUD, 2ª ed., São Paulo, 1998, p. 538).</w:t>
      </w:r>
    </w:p>
    <w:p w:rsidR="0016620A" w:rsidRPr="000C0568" w:rsidRDefault="0016620A" w:rsidP="009D0DFC">
      <w:pPr>
        <w:autoSpaceDE w:val="0"/>
        <w:autoSpaceDN w:val="0"/>
        <w:adjustRightInd w:val="0"/>
        <w:spacing w:after="0" w:line="240" w:lineRule="auto"/>
        <w:ind w:left="709"/>
        <w:jc w:val="both"/>
        <w:rPr>
          <w:sz w:val="24"/>
          <w:szCs w:val="24"/>
        </w:rPr>
      </w:pPr>
    </w:p>
    <w:p w:rsidR="0016620A" w:rsidRPr="000C0568" w:rsidRDefault="0016620A" w:rsidP="009D0DFC">
      <w:pPr>
        <w:autoSpaceDE w:val="0"/>
        <w:autoSpaceDN w:val="0"/>
        <w:adjustRightInd w:val="0"/>
        <w:spacing w:after="0" w:line="240" w:lineRule="auto"/>
        <w:ind w:left="709"/>
        <w:jc w:val="both"/>
        <w:rPr>
          <w:sz w:val="24"/>
          <w:szCs w:val="24"/>
        </w:rPr>
      </w:pPr>
      <w:r w:rsidRPr="000C0568">
        <w:rPr>
          <w:sz w:val="24"/>
          <w:szCs w:val="24"/>
        </w:rPr>
        <w:t xml:space="preserve">Nesse contexto, a exposição ao ruído acima dos níveis de tolerância, mesmo que utilizado o EPI, além de produzir lesão auditiva, pode ocasionar disfunções cardiovasculares, digestivas e psicológicas. </w:t>
      </w:r>
    </w:p>
    <w:p w:rsidR="009D0DFC" w:rsidRPr="000C0568" w:rsidRDefault="009D0DFC" w:rsidP="009D0DFC">
      <w:pPr>
        <w:autoSpaceDE w:val="0"/>
        <w:autoSpaceDN w:val="0"/>
        <w:adjustRightInd w:val="0"/>
        <w:spacing w:after="0" w:line="240" w:lineRule="auto"/>
        <w:ind w:left="709"/>
        <w:jc w:val="both"/>
        <w:rPr>
          <w:sz w:val="24"/>
          <w:szCs w:val="24"/>
        </w:rPr>
      </w:pPr>
    </w:p>
    <w:p w:rsidR="0016620A" w:rsidRPr="000C0568" w:rsidRDefault="0016620A" w:rsidP="009D0DFC">
      <w:pPr>
        <w:autoSpaceDE w:val="0"/>
        <w:autoSpaceDN w:val="0"/>
        <w:adjustRightInd w:val="0"/>
        <w:spacing w:after="0" w:line="240" w:lineRule="auto"/>
        <w:ind w:left="709"/>
        <w:jc w:val="both"/>
        <w:rPr>
          <w:sz w:val="24"/>
          <w:szCs w:val="24"/>
        </w:rPr>
      </w:pPr>
      <w:r w:rsidRPr="000C0568">
        <w:rPr>
          <w:sz w:val="24"/>
          <w:szCs w:val="24"/>
        </w:rPr>
        <w:t>(...)</w:t>
      </w:r>
    </w:p>
    <w:p w:rsidR="009D0DFC" w:rsidRPr="000C0568" w:rsidRDefault="009D0DFC" w:rsidP="009D0DFC">
      <w:pPr>
        <w:autoSpaceDE w:val="0"/>
        <w:autoSpaceDN w:val="0"/>
        <w:adjustRightInd w:val="0"/>
        <w:spacing w:after="0" w:line="240" w:lineRule="auto"/>
        <w:ind w:left="709"/>
        <w:jc w:val="both"/>
        <w:rPr>
          <w:sz w:val="24"/>
          <w:szCs w:val="24"/>
        </w:rPr>
      </w:pPr>
    </w:p>
    <w:p w:rsidR="0016620A" w:rsidRPr="000C0568" w:rsidRDefault="0016620A" w:rsidP="009D0DFC">
      <w:pPr>
        <w:autoSpaceDE w:val="0"/>
        <w:autoSpaceDN w:val="0"/>
        <w:adjustRightInd w:val="0"/>
        <w:spacing w:after="0" w:line="240" w:lineRule="auto"/>
        <w:ind w:left="709"/>
        <w:jc w:val="both"/>
        <w:rPr>
          <w:sz w:val="24"/>
          <w:szCs w:val="24"/>
        </w:rPr>
      </w:pPr>
      <w:r w:rsidRPr="000C0568">
        <w:rPr>
          <w:sz w:val="24"/>
          <w:szCs w:val="24"/>
        </w:rPr>
        <w:t>Portanto, não se pode, de maneira alguma, cogitar-se de uma proteção efetiva que descaracterize a insalubridade da relação ambiente-trabalhador para fins da não concessão do benefício da aposentadoria especial quanto ao ruído.</w:t>
      </w:r>
    </w:p>
    <w:p w:rsidR="0016620A" w:rsidRPr="000C0568" w:rsidRDefault="0016620A" w:rsidP="00480E83">
      <w:pPr>
        <w:autoSpaceDE w:val="0"/>
        <w:autoSpaceDN w:val="0"/>
        <w:adjustRightInd w:val="0"/>
        <w:spacing w:after="200" w:line="360" w:lineRule="auto"/>
        <w:jc w:val="both"/>
        <w:rPr>
          <w:sz w:val="24"/>
          <w:szCs w:val="24"/>
        </w:rPr>
      </w:pPr>
    </w:p>
    <w:p w:rsidR="0016620A" w:rsidRPr="000C0568" w:rsidRDefault="002130DA" w:rsidP="002130DA">
      <w:pPr>
        <w:autoSpaceDE w:val="0"/>
        <w:autoSpaceDN w:val="0"/>
        <w:adjustRightInd w:val="0"/>
        <w:spacing w:after="200" w:line="360" w:lineRule="auto"/>
        <w:jc w:val="both"/>
        <w:rPr>
          <w:sz w:val="24"/>
          <w:szCs w:val="24"/>
        </w:rPr>
      </w:pPr>
      <w:r>
        <w:rPr>
          <w:sz w:val="24"/>
          <w:szCs w:val="24"/>
        </w:rPr>
        <w:t>49.</w:t>
      </w:r>
      <w:r>
        <w:rPr>
          <w:sz w:val="24"/>
          <w:szCs w:val="24"/>
        </w:rPr>
        <w:tab/>
      </w:r>
      <w:r>
        <w:rPr>
          <w:sz w:val="24"/>
          <w:szCs w:val="24"/>
        </w:rPr>
        <w:tab/>
      </w:r>
      <w:r w:rsidR="0016620A" w:rsidRPr="000C0568">
        <w:rPr>
          <w:sz w:val="24"/>
          <w:szCs w:val="24"/>
        </w:rPr>
        <w:t xml:space="preserve">O abrandamento da intensidade máxima do ruído de 90 dB(A) para 85 dB(A) demonstra o reconhecimento, por parte da Administração Pública, </w:t>
      </w:r>
      <w:r w:rsidR="006D2AB0" w:rsidRPr="000C0568">
        <w:rPr>
          <w:sz w:val="24"/>
          <w:szCs w:val="24"/>
        </w:rPr>
        <w:t>por meio</w:t>
      </w:r>
      <w:r w:rsidR="0016620A" w:rsidRPr="000C0568">
        <w:rPr>
          <w:sz w:val="24"/>
          <w:szCs w:val="24"/>
        </w:rPr>
        <w:t xml:space="preserve"> de critérios técnicos mais precisos que os utilizados anteriormente, do equívoco cometido na classificação estabelecida pelo Decreto n</w:t>
      </w:r>
      <w:r w:rsidR="00061801">
        <w:rPr>
          <w:sz w:val="24"/>
          <w:szCs w:val="24"/>
        </w:rPr>
        <w:t>.</w:t>
      </w:r>
      <w:r w:rsidR="0016620A" w:rsidRPr="000C0568">
        <w:rPr>
          <w:sz w:val="24"/>
          <w:szCs w:val="24"/>
        </w:rPr>
        <w:t xml:space="preserve"> 2.172/1997.</w:t>
      </w:r>
    </w:p>
    <w:p w:rsidR="0016620A" w:rsidRPr="000C0568" w:rsidRDefault="002130DA" w:rsidP="002130DA">
      <w:pPr>
        <w:autoSpaceDE w:val="0"/>
        <w:autoSpaceDN w:val="0"/>
        <w:adjustRightInd w:val="0"/>
        <w:spacing w:after="200" w:line="360" w:lineRule="auto"/>
        <w:jc w:val="both"/>
        <w:rPr>
          <w:sz w:val="24"/>
          <w:szCs w:val="24"/>
        </w:rPr>
      </w:pPr>
      <w:r>
        <w:rPr>
          <w:sz w:val="24"/>
          <w:szCs w:val="24"/>
        </w:rPr>
        <w:t>50.</w:t>
      </w:r>
      <w:r>
        <w:rPr>
          <w:sz w:val="24"/>
          <w:szCs w:val="24"/>
        </w:rPr>
        <w:tab/>
      </w:r>
      <w:r>
        <w:rPr>
          <w:sz w:val="24"/>
          <w:szCs w:val="24"/>
        </w:rPr>
        <w:tab/>
      </w:r>
      <w:r w:rsidR="0016620A" w:rsidRPr="000C0568">
        <w:rPr>
          <w:sz w:val="24"/>
          <w:szCs w:val="24"/>
        </w:rPr>
        <w:t>Deste fato, originaram-se divergências jurisprudenciais sobre a possibilidade de retroação do índice de 85 dB(A), estabelecido pelo Decreto n</w:t>
      </w:r>
      <w:r w:rsidR="00061801">
        <w:rPr>
          <w:sz w:val="24"/>
          <w:szCs w:val="24"/>
        </w:rPr>
        <w:t>.</w:t>
      </w:r>
      <w:r w:rsidR="0016620A" w:rsidRPr="000C0568">
        <w:rPr>
          <w:sz w:val="24"/>
          <w:szCs w:val="24"/>
        </w:rPr>
        <w:t xml:space="preserve"> 4.882/2003, a contar de 6/3/1997, data da vigência do Decreto n</w:t>
      </w:r>
      <w:r w:rsidR="00061801">
        <w:rPr>
          <w:sz w:val="24"/>
          <w:szCs w:val="24"/>
        </w:rPr>
        <w:t>.</w:t>
      </w:r>
      <w:r w:rsidR="0016620A" w:rsidRPr="000C0568">
        <w:rPr>
          <w:sz w:val="24"/>
          <w:szCs w:val="24"/>
        </w:rPr>
        <w:t xml:space="preserve"> 2.172/1997.</w:t>
      </w:r>
    </w:p>
    <w:p w:rsidR="0016620A" w:rsidRPr="000C0568" w:rsidRDefault="002130DA" w:rsidP="002130DA">
      <w:pPr>
        <w:autoSpaceDE w:val="0"/>
        <w:autoSpaceDN w:val="0"/>
        <w:adjustRightInd w:val="0"/>
        <w:spacing w:after="200" w:line="360" w:lineRule="auto"/>
        <w:jc w:val="both"/>
        <w:rPr>
          <w:sz w:val="24"/>
          <w:szCs w:val="24"/>
        </w:rPr>
      </w:pPr>
      <w:r>
        <w:rPr>
          <w:sz w:val="24"/>
          <w:szCs w:val="24"/>
        </w:rPr>
        <w:t>51.</w:t>
      </w:r>
      <w:r>
        <w:rPr>
          <w:sz w:val="24"/>
          <w:szCs w:val="24"/>
        </w:rPr>
        <w:tab/>
      </w:r>
      <w:r>
        <w:rPr>
          <w:sz w:val="24"/>
          <w:szCs w:val="24"/>
        </w:rPr>
        <w:tab/>
      </w:r>
      <w:r w:rsidR="0016620A" w:rsidRPr="000C0568">
        <w:rPr>
          <w:sz w:val="24"/>
          <w:szCs w:val="24"/>
        </w:rPr>
        <w:t>Após o julgamento da Petição n</w:t>
      </w:r>
      <w:r w:rsidR="00061801">
        <w:rPr>
          <w:sz w:val="24"/>
          <w:szCs w:val="24"/>
        </w:rPr>
        <w:t>.</w:t>
      </w:r>
      <w:r w:rsidR="0016620A" w:rsidRPr="000C0568">
        <w:rPr>
          <w:sz w:val="24"/>
          <w:szCs w:val="24"/>
        </w:rPr>
        <w:t xml:space="preserve"> 9.059/RS pelo STJ, e posterior cancelamento da Súmula n</w:t>
      </w:r>
      <w:r w:rsidR="00061801">
        <w:rPr>
          <w:sz w:val="24"/>
          <w:szCs w:val="24"/>
        </w:rPr>
        <w:t>.</w:t>
      </w:r>
      <w:r w:rsidR="0016620A" w:rsidRPr="000C0568">
        <w:rPr>
          <w:sz w:val="24"/>
          <w:szCs w:val="24"/>
        </w:rPr>
        <w:t xml:space="preserve"> 32 da Turma Nacional de Uniformização, em 9/10/2013, </w:t>
      </w:r>
      <w:r w:rsidR="0016620A" w:rsidRPr="000C0568">
        <w:rPr>
          <w:sz w:val="24"/>
          <w:szCs w:val="24"/>
        </w:rPr>
        <w:lastRenderedPageBreak/>
        <w:t>que havia firmado o entendimento sobre a possibilidade de retroação do índice de 85 dB(A), a posição majoritária veio a ser a de que o índice de 90 dB(A) deve ser utilizado desde a vigência do Decreto n</w:t>
      </w:r>
      <w:r w:rsidR="00A035AC">
        <w:rPr>
          <w:sz w:val="24"/>
          <w:szCs w:val="24"/>
        </w:rPr>
        <w:t>.</w:t>
      </w:r>
      <w:r w:rsidR="0016620A" w:rsidRPr="000C0568">
        <w:rPr>
          <w:sz w:val="24"/>
          <w:szCs w:val="24"/>
        </w:rPr>
        <w:t xml:space="preserve"> 2.172/1997 até a vigência do Decreto n</w:t>
      </w:r>
      <w:r w:rsidR="00A035AC">
        <w:rPr>
          <w:sz w:val="24"/>
          <w:szCs w:val="24"/>
        </w:rPr>
        <w:t>.</w:t>
      </w:r>
      <w:r w:rsidR="0016620A" w:rsidRPr="000C0568">
        <w:rPr>
          <w:sz w:val="24"/>
          <w:szCs w:val="24"/>
        </w:rPr>
        <w:t xml:space="preserve"> 4.882/2003, em atendimento ao princípio do “</w:t>
      </w:r>
      <w:r w:rsidR="0016620A" w:rsidRPr="00A035AC">
        <w:rPr>
          <w:i/>
          <w:sz w:val="24"/>
          <w:szCs w:val="24"/>
        </w:rPr>
        <w:t xml:space="preserve">tempus </w:t>
      </w:r>
      <w:proofErr w:type="spellStart"/>
      <w:r w:rsidR="0016620A" w:rsidRPr="00A035AC">
        <w:rPr>
          <w:i/>
          <w:sz w:val="24"/>
          <w:szCs w:val="24"/>
        </w:rPr>
        <w:t>regit</w:t>
      </w:r>
      <w:proofErr w:type="spellEnd"/>
      <w:r w:rsidR="0016620A" w:rsidRPr="00A035AC">
        <w:rPr>
          <w:i/>
          <w:sz w:val="24"/>
          <w:szCs w:val="24"/>
        </w:rPr>
        <w:t xml:space="preserve"> </w:t>
      </w:r>
      <w:proofErr w:type="spellStart"/>
      <w:r w:rsidR="0016620A" w:rsidRPr="00A035AC">
        <w:rPr>
          <w:i/>
          <w:sz w:val="24"/>
          <w:szCs w:val="24"/>
        </w:rPr>
        <w:t>actum</w:t>
      </w:r>
      <w:proofErr w:type="spellEnd"/>
      <w:r w:rsidR="0016620A" w:rsidRPr="000C0568">
        <w:rPr>
          <w:sz w:val="24"/>
          <w:szCs w:val="24"/>
        </w:rPr>
        <w:t xml:space="preserve">”. Nesse sentido, o Recurso Especial </w:t>
      </w:r>
      <w:r w:rsidR="00A035AC">
        <w:rPr>
          <w:sz w:val="24"/>
          <w:szCs w:val="24"/>
        </w:rPr>
        <w:t>R</w:t>
      </w:r>
      <w:r w:rsidR="0016620A" w:rsidRPr="000C0568">
        <w:rPr>
          <w:sz w:val="24"/>
          <w:szCs w:val="24"/>
        </w:rPr>
        <w:t xml:space="preserve">epresentativo da </w:t>
      </w:r>
      <w:r w:rsidR="00A035AC">
        <w:rPr>
          <w:sz w:val="24"/>
          <w:szCs w:val="24"/>
        </w:rPr>
        <w:t>C</w:t>
      </w:r>
      <w:r w:rsidR="0016620A" w:rsidRPr="000C0568">
        <w:rPr>
          <w:sz w:val="24"/>
          <w:szCs w:val="24"/>
        </w:rPr>
        <w:t>ontrovérsia (original sem grifo):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ADMINISTRATIVO E PROCESSUAL CIVIL. MATÉRIA REPETITIVA. ART. 543-C DO CPC E RESOLUÇÃO STJ 8/2008. RECURSO REPRESENTATIVO DE CONTROVÉRSIA. PREVIDENCIÁRIO. REGIME GERAL DE PREVIDÊNCIA SOCIAL. TEMPO ESPECIAL. RUÍDO. LIMITE DE 90DB NO PERÍODO DE 6.3.1997 A 18.11.2003. DECRETO 4.882/2003. LIMITE DE 85 DB. RETROAÇÃO. IMPOSSIBILIDADE. APLICAÇÃO DA LEI VIGENTE À ÉPOCA DA PRESTAÇÃO DO SERVIÇO.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Controvérsia submetida ao rito do art. 543-C do CPC</w:t>
      </w:r>
      <w:r w:rsidR="00A035AC">
        <w:rPr>
          <w:sz w:val="24"/>
          <w:szCs w:val="24"/>
        </w:rPr>
        <w:t>.</w:t>
      </w:r>
      <w:r w:rsidRPr="000C0568">
        <w:rPr>
          <w:sz w:val="24"/>
          <w:szCs w:val="24"/>
        </w:rPr>
        <w:t xml:space="preserve"> </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 xml:space="preserve">1. Está pacificado no STJ o entendimento de que a lei que rege o tempo de serviço é aquela vigente no momento da prestação do labor. Nessa mesma linha: </w:t>
      </w:r>
      <w:proofErr w:type="spellStart"/>
      <w:r w:rsidRPr="000C0568">
        <w:rPr>
          <w:sz w:val="24"/>
          <w:szCs w:val="24"/>
        </w:rPr>
        <w:t>REsp</w:t>
      </w:r>
      <w:proofErr w:type="spellEnd"/>
      <w:r w:rsidRPr="000C0568">
        <w:rPr>
          <w:sz w:val="24"/>
          <w:szCs w:val="24"/>
        </w:rPr>
        <w:t xml:space="preserve"> 1.151.363/MG, Rel. Ministro Jorge </w:t>
      </w:r>
      <w:proofErr w:type="spellStart"/>
      <w:r w:rsidRPr="000C0568">
        <w:rPr>
          <w:sz w:val="24"/>
          <w:szCs w:val="24"/>
        </w:rPr>
        <w:t>Mussi</w:t>
      </w:r>
      <w:proofErr w:type="spellEnd"/>
      <w:r w:rsidRPr="000C0568">
        <w:rPr>
          <w:sz w:val="24"/>
          <w:szCs w:val="24"/>
        </w:rPr>
        <w:t xml:space="preserve">, Terceira Seção, </w:t>
      </w:r>
      <w:proofErr w:type="spellStart"/>
      <w:r w:rsidRPr="000C0568">
        <w:rPr>
          <w:sz w:val="24"/>
          <w:szCs w:val="24"/>
        </w:rPr>
        <w:t>DJe</w:t>
      </w:r>
      <w:proofErr w:type="spellEnd"/>
      <w:r w:rsidRPr="000C0568">
        <w:rPr>
          <w:sz w:val="24"/>
          <w:szCs w:val="24"/>
        </w:rPr>
        <w:t xml:space="preserve"> 5.4.2011; </w:t>
      </w:r>
      <w:proofErr w:type="spellStart"/>
      <w:r w:rsidRPr="000C0568">
        <w:rPr>
          <w:sz w:val="24"/>
          <w:szCs w:val="24"/>
        </w:rPr>
        <w:t>REsp</w:t>
      </w:r>
      <w:proofErr w:type="spellEnd"/>
      <w:r w:rsidRPr="000C0568">
        <w:rPr>
          <w:sz w:val="24"/>
          <w:szCs w:val="24"/>
        </w:rPr>
        <w:t xml:space="preserve"> 1.310.034/PR, Rel. Ministro Herman Benjamin, Primeira Seção, </w:t>
      </w:r>
      <w:proofErr w:type="spellStart"/>
      <w:r w:rsidRPr="000C0568">
        <w:rPr>
          <w:sz w:val="24"/>
          <w:szCs w:val="24"/>
        </w:rPr>
        <w:t>DJe</w:t>
      </w:r>
      <w:proofErr w:type="spellEnd"/>
      <w:r w:rsidRPr="000C0568">
        <w:rPr>
          <w:sz w:val="24"/>
          <w:szCs w:val="24"/>
        </w:rPr>
        <w:t xml:space="preserve"> 19.12.2012, ambos julgados sob o regime do art. 543-C do CPC.</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2. O limite de tolerância para configuração da especialidade do tempo de serviço para o agente ruído deve ser de 90 dB no período de 6.3.1997 a 18.11.2003, conforme Anexo IV do Decreto 2.172/1997 e Anexo IV do Decreto 3.048/1999, sendo impossível aplicação retroativa do Decreto 4.882/2003, que reduziu o patamar para 85 dB, sob pena de ofensa ao art. 6º da LINDB (</w:t>
      </w:r>
      <w:proofErr w:type="spellStart"/>
      <w:r w:rsidRPr="000C0568">
        <w:rPr>
          <w:sz w:val="24"/>
          <w:szCs w:val="24"/>
        </w:rPr>
        <w:t>ex-LICC</w:t>
      </w:r>
      <w:proofErr w:type="spellEnd"/>
      <w:r w:rsidRPr="000C0568">
        <w:rPr>
          <w:sz w:val="24"/>
          <w:szCs w:val="24"/>
        </w:rPr>
        <w:t xml:space="preserve">). Precedentes do STJ. </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Caso concreto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3. Na hipótese dos autos, a redução do tempo de serviço decorrente da supressão do acréscimo da especialidade do período controvertido não prejudica a concessão da aposentadoria integral.</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4. Recurso Especial parcialmente provido. Acórdão submetido ao regime do art. 543-C do CPC e da Resolução STJ 8/2008.</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 xml:space="preserve">(STJ, </w:t>
      </w:r>
      <w:proofErr w:type="spellStart"/>
      <w:r w:rsidRPr="000C0568">
        <w:rPr>
          <w:sz w:val="24"/>
          <w:szCs w:val="24"/>
        </w:rPr>
        <w:t>REsp</w:t>
      </w:r>
      <w:proofErr w:type="spellEnd"/>
      <w:r w:rsidRPr="000C0568">
        <w:rPr>
          <w:sz w:val="24"/>
          <w:szCs w:val="24"/>
        </w:rPr>
        <w:t xml:space="preserve"> repetitivo 1</w:t>
      </w:r>
      <w:r w:rsidR="00A035AC">
        <w:rPr>
          <w:sz w:val="24"/>
          <w:szCs w:val="24"/>
        </w:rPr>
        <w:t>.</w:t>
      </w:r>
      <w:r w:rsidRPr="000C0568">
        <w:rPr>
          <w:sz w:val="24"/>
          <w:szCs w:val="24"/>
        </w:rPr>
        <w:t>398</w:t>
      </w:r>
      <w:r w:rsidR="00A035AC">
        <w:rPr>
          <w:sz w:val="24"/>
          <w:szCs w:val="24"/>
        </w:rPr>
        <w:t>.</w:t>
      </w:r>
      <w:r w:rsidRPr="000C0568">
        <w:rPr>
          <w:sz w:val="24"/>
          <w:szCs w:val="24"/>
        </w:rPr>
        <w:t>260/PR, 1</w:t>
      </w:r>
      <w:r w:rsidR="00A035AC">
        <w:rPr>
          <w:sz w:val="24"/>
          <w:szCs w:val="24"/>
        </w:rPr>
        <w:t>.</w:t>
      </w:r>
      <w:r w:rsidRPr="000C0568">
        <w:rPr>
          <w:sz w:val="24"/>
          <w:szCs w:val="24"/>
        </w:rPr>
        <w:t>398</w:t>
      </w:r>
      <w:r w:rsidR="00A035AC">
        <w:rPr>
          <w:sz w:val="24"/>
          <w:szCs w:val="24"/>
        </w:rPr>
        <w:t>.</w:t>
      </w:r>
      <w:r w:rsidRPr="000C0568">
        <w:rPr>
          <w:sz w:val="24"/>
          <w:szCs w:val="24"/>
        </w:rPr>
        <w:t xml:space="preserve">260/PR, Rel. Min. Herman Benjamin, Primeira Seção, j. 14/5/2014, </w:t>
      </w:r>
      <w:proofErr w:type="spellStart"/>
      <w:r w:rsidRPr="000C0568">
        <w:rPr>
          <w:sz w:val="24"/>
          <w:szCs w:val="24"/>
        </w:rPr>
        <w:t>DJe</w:t>
      </w:r>
      <w:proofErr w:type="spellEnd"/>
      <w:r w:rsidRPr="000C0568">
        <w:rPr>
          <w:sz w:val="24"/>
          <w:szCs w:val="24"/>
        </w:rPr>
        <w:t xml:space="preserve"> 5/12/2014)</w:t>
      </w:r>
    </w:p>
    <w:p w:rsidR="0016620A" w:rsidRPr="000C0568" w:rsidRDefault="0016620A" w:rsidP="00480E83">
      <w:pPr>
        <w:autoSpaceDE w:val="0"/>
        <w:autoSpaceDN w:val="0"/>
        <w:adjustRightInd w:val="0"/>
        <w:spacing w:after="200" w:line="360" w:lineRule="auto"/>
        <w:jc w:val="both"/>
        <w:rPr>
          <w:sz w:val="24"/>
          <w:szCs w:val="24"/>
        </w:rPr>
      </w:pPr>
    </w:p>
    <w:p w:rsidR="0016620A" w:rsidRPr="000C0568" w:rsidRDefault="002130DA" w:rsidP="002130DA">
      <w:pPr>
        <w:autoSpaceDE w:val="0"/>
        <w:autoSpaceDN w:val="0"/>
        <w:adjustRightInd w:val="0"/>
        <w:spacing w:after="200" w:line="360" w:lineRule="auto"/>
        <w:jc w:val="both"/>
        <w:rPr>
          <w:sz w:val="24"/>
          <w:szCs w:val="24"/>
        </w:rPr>
      </w:pPr>
      <w:proofErr w:type="gramStart"/>
      <w:r>
        <w:rPr>
          <w:sz w:val="24"/>
          <w:szCs w:val="24"/>
        </w:rPr>
        <w:t>52.</w:t>
      </w:r>
      <w:proofErr w:type="gramEnd"/>
      <w:r>
        <w:rPr>
          <w:sz w:val="24"/>
          <w:szCs w:val="24"/>
        </w:rPr>
        <w:tab/>
      </w:r>
      <w:r>
        <w:rPr>
          <w:sz w:val="24"/>
          <w:szCs w:val="24"/>
        </w:rPr>
        <w:tab/>
      </w:r>
      <w:r w:rsidR="0016620A" w:rsidRPr="000C0568">
        <w:rPr>
          <w:sz w:val="24"/>
          <w:szCs w:val="24"/>
        </w:rPr>
        <w:t xml:space="preserve">Contudo, a jurisprudência pátria é uníssona pela possibilidade de reconhecimento da atividade especial a qualquer tempo, independentemente de </w:t>
      </w:r>
      <w:r w:rsidR="0016620A" w:rsidRPr="000C0568">
        <w:rPr>
          <w:sz w:val="24"/>
          <w:szCs w:val="24"/>
        </w:rPr>
        <w:lastRenderedPageBreak/>
        <w:t>inscrição em regulamento, desde que devidamente comprovada a exposição a agente agressivo.</w:t>
      </w:r>
    </w:p>
    <w:p w:rsidR="0016620A" w:rsidRPr="000C0568" w:rsidRDefault="002130DA" w:rsidP="002130DA">
      <w:pPr>
        <w:autoSpaceDE w:val="0"/>
        <w:autoSpaceDN w:val="0"/>
        <w:adjustRightInd w:val="0"/>
        <w:spacing w:after="200" w:line="360" w:lineRule="auto"/>
        <w:jc w:val="both"/>
        <w:rPr>
          <w:sz w:val="24"/>
          <w:szCs w:val="24"/>
        </w:rPr>
      </w:pPr>
      <w:r>
        <w:rPr>
          <w:sz w:val="24"/>
          <w:szCs w:val="24"/>
        </w:rPr>
        <w:t>53.</w:t>
      </w:r>
      <w:r>
        <w:rPr>
          <w:sz w:val="24"/>
          <w:szCs w:val="24"/>
        </w:rPr>
        <w:tab/>
      </w:r>
      <w:r>
        <w:rPr>
          <w:sz w:val="24"/>
          <w:szCs w:val="24"/>
        </w:rPr>
        <w:tab/>
      </w:r>
      <w:r w:rsidR="0016620A" w:rsidRPr="000C0568">
        <w:rPr>
          <w:sz w:val="24"/>
          <w:szCs w:val="24"/>
        </w:rPr>
        <w:t xml:space="preserve">Este é o entendimento do </w:t>
      </w:r>
      <w:r w:rsidR="00A035AC">
        <w:rPr>
          <w:sz w:val="24"/>
          <w:szCs w:val="24"/>
        </w:rPr>
        <w:t>col.</w:t>
      </w:r>
      <w:r w:rsidR="0016620A" w:rsidRPr="000C0568">
        <w:rPr>
          <w:sz w:val="24"/>
          <w:szCs w:val="24"/>
        </w:rPr>
        <w:t xml:space="preserve"> STJ</w:t>
      </w:r>
      <w:r w:rsidR="006D2AB0" w:rsidRPr="000C0568">
        <w:rPr>
          <w:sz w:val="24"/>
          <w:szCs w:val="24"/>
        </w:rPr>
        <w:t>,</w:t>
      </w:r>
      <w:r w:rsidR="00A035AC">
        <w:rPr>
          <w:sz w:val="24"/>
          <w:szCs w:val="24"/>
        </w:rPr>
        <w:t xml:space="preserve"> consolidado no R</w:t>
      </w:r>
      <w:r w:rsidR="0016620A" w:rsidRPr="000C0568">
        <w:rPr>
          <w:sz w:val="24"/>
          <w:szCs w:val="24"/>
        </w:rPr>
        <w:t xml:space="preserve">ecurso </w:t>
      </w:r>
      <w:r w:rsidR="00A035AC">
        <w:rPr>
          <w:sz w:val="24"/>
          <w:szCs w:val="24"/>
        </w:rPr>
        <w:t>E</w:t>
      </w:r>
      <w:r w:rsidR="0016620A" w:rsidRPr="000C0568">
        <w:rPr>
          <w:sz w:val="24"/>
          <w:szCs w:val="24"/>
        </w:rPr>
        <w:t xml:space="preserve">special </w:t>
      </w:r>
      <w:r w:rsidR="00A035AC">
        <w:rPr>
          <w:sz w:val="24"/>
          <w:szCs w:val="24"/>
        </w:rPr>
        <w:t>R</w:t>
      </w:r>
      <w:r w:rsidR="0016620A" w:rsidRPr="000C0568">
        <w:rPr>
          <w:sz w:val="24"/>
          <w:szCs w:val="24"/>
        </w:rPr>
        <w:t xml:space="preserve">epresentativo da </w:t>
      </w:r>
      <w:r w:rsidR="00A035AC">
        <w:rPr>
          <w:sz w:val="24"/>
          <w:szCs w:val="24"/>
        </w:rPr>
        <w:t>C</w:t>
      </w:r>
      <w:r w:rsidR="0016620A" w:rsidRPr="000C0568">
        <w:rPr>
          <w:sz w:val="24"/>
          <w:szCs w:val="24"/>
        </w:rPr>
        <w:t>ontrovérsia, que trata de especialização por periculosidade (risco de choque elétrico de alta tensão), no RESP n. 1306113/SC, cuja relatoria coube ao Exmo. Min. Herman Benjamin:</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RECURSO ESPECIAL. MATÉRIA REPETITIVA. ART. 543-C DO CPC E RESOLUÇÃO STJ 8/2008. RECURSO REPRESENTATIVO DE CONTROVÉRSIA. ATIVIDADE ESPECIAL. AGENTE ELETRICIDADE. SUPRESSÃO PELO DECRETO 2.172/1997 (ANEXO IV). ARTS. 57 E 58 DA LEI 8.213/1991. ROL DE ATIVIDADES E AGENTES NOCIVOS. CARÁTER EXEMPLIFICATIVO. AGENTES PREJUDICIAIS NÃO PREVISTOS. REQUISITOS PARA CARACTERIZAÇÃO. SUPORTE TÉCNICO MÉDICO E JURÍDICO. EXPOSIÇÃO PERMANENTE, NÃO OCASIONAL NEM INTERMITENTE (ART. 57, § 3º, DA LEI 8.213/1991).</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1. Trata-se de Recurso Especial interposto pela autarquia previdenciária com o escopo de prevalecer a tese de que a supressão do agente eletricidade do rol de agentes nocivos pelo Decreto 2.172/1997 (Anexo IV) culmina na impossibilidade de configuração como tempo especial (</w:t>
      </w:r>
      <w:proofErr w:type="spellStart"/>
      <w:r w:rsidRPr="000C0568">
        <w:rPr>
          <w:sz w:val="24"/>
          <w:szCs w:val="24"/>
        </w:rPr>
        <w:t>arts</w:t>
      </w:r>
      <w:proofErr w:type="spellEnd"/>
      <w:r w:rsidRPr="000C0568">
        <w:rPr>
          <w:sz w:val="24"/>
          <w:szCs w:val="24"/>
        </w:rPr>
        <w:t>. 57 e 58 da Lei 8.213/1991) de tal hipótese a partir da vigência do citado ato normativo.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2. À luz da interpretação sistemática, as normas regulamentadoras que estabelecem os casos de agentes e atividades nocivos à saúde do trabalhador são exemplificativas, podendo ser tido como distinto o labor que a técnica médica e a legislação correlata considerarem como prejudiciais ao obreiro, desde que o trabalho seja permanente, não ocasional, nem intermitente, em condições especiais (art. 57, § 3º, da Lei 8.213/1991). Precedentes do STJ.</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3. No caso concreto, o Tribunal de origem embasou-se em elementos técnicos (laudo pericial) e na legislação trabalhista para reputar como especial o trabalho exercido pelo recorrido, por consequência da exposição habitual à eletricidade, o que está de acordo com o entendimento fixado pelo STJ.</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4. Recurso Especial não provido. Acórdão submetido ao regime do art. 543-C do CPC e da Resolução 8/2008 do STJ.</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 xml:space="preserve">(STJ, </w:t>
      </w:r>
      <w:proofErr w:type="spellStart"/>
      <w:r w:rsidRPr="000C0568">
        <w:rPr>
          <w:sz w:val="24"/>
          <w:szCs w:val="24"/>
        </w:rPr>
        <w:t>REsp</w:t>
      </w:r>
      <w:proofErr w:type="spellEnd"/>
      <w:r w:rsidRPr="000C0568">
        <w:rPr>
          <w:sz w:val="24"/>
          <w:szCs w:val="24"/>
        </w:rPr>
        <w:t xml:space="preserve"> repetitivo 1</w:t>
      </w:r>
      <w:r w:rsidR="00A035AC">
        <w:rPr>
          <w:sz w:val="24"/>
          <w:szCs w:val="24"/>
        </w:rPr>
        <w:t>.</w:t>
      </w:r>
      <w:r w:rsidRPr="000C0568">
        <w:rPr>
          <w:sz w:val="24"/>
          <w:szCs w:val="24"/>
        </w:rPr>
        <w:t>306</w:t>
      </w:r>
      <w:r w:rsidR="00A035AC">
        <w:rPr>
          <w:sz w:val="24"/>
          <w:szCs w:val="24"/>
        </w:rPr>
        <w:t>.</w:t>
      </w:r>
      <w:r w:rsidRPr="000C0568">
        <w:rPr>
          <w:sz w:val="24"/>
          <w:szCs w:val="24"/>
        </w:rPr>
        <w:t xml:space="preserve">113/SC, Rel. Min Herman Benjamin, Primeira Seção, j. 14/11/2012, </w:t>
      </w:r>
      <w:proofErr w:type="spellStart"/>
      <w:r w:rsidRPr="000C0568">
        <w:rPr>
          <w:sz w:val="24"/>
          <w:szCs w:val="24"/>
        </w:rPr>
        <w:t>DJe</w:t>
      </w:r>
      <w:proofErr w:type="spellEnd"/>
      <w:r w:rsidRPr="000C0568">
        <w:rPr>
          <w:sz w:val="24"/>
          <w:szCs w:val="24"/>
        </w:rPr>
        <w:t xml:space="preserve"> </w:t>
      </w:r>
      <w:r w:rsidR="00A035AC">
        <w:rPr>
          <w:sz w:val="24"/>
          <w:szCs w:val="24"/>
        </w:rPr>
        <w:t>7/</w:t>
      </w:r>
      <w:r w:rsidRPr="000C0568">
        <w:rPr>
          <w:sz w:val="24"/>
          <w:szCs w:val="24"/>
        </w:rPr>
        <w:t xml:space="preserve">3/2013) </w:t>
      </w:r>
    </w:p>
    <w:p w:rsidR="0016620A" w:rsidRPr="000C0568" w:rsidRDefault="0016620A" w:rsidP="00480E83">
      <w:pPr>
        <w:autoSpaceDE w:val="0"/>
        <w:autoSpaceDN w:val="0"/>
        <w:adjustRightInd w:val="0"/>
        <w:spacing w:after="200" w:line="360" w:lineRule="auto"/>
        <w:jc w:val="both"/>
        <w:rPr>
          <w:sz w:val="24"/>
          <w:szCs w:val="24"/>
        </w:rPr>
      </w:pPr>
    </w:p>
    <w:p w:rsidR="0016620A" w:rsidRPr="000C0568" w:rsidRDefault="002130DA" w:rsidP="002130DA">
      <w:pPr>
        <w:autoSpaceDE w:val="0"/>
        <w:autoSpaceDN w:val="0"/>
        <w:adjustRightInd w:val="0"/>
        <w:spacing w:after="200" w:line="360" w:lineRule="auto"/>
        <w:jc w:val="both"/>
        <w:rPr>
          <w:sz w:val="24"/>
          <w:szCs w:val="24"/>
        </w:rPr>
      </w:pPr>
      <w:r>
        <w:rPr>
          <w:sz w:val="24"/>
          <w:szCs w:val="24"/>
        </w:rPr>
        <w:lastRenderedPageBreak/>
        <w:t>54.</w:t>
      </w:r>
      <w:r>
        <w:rPr>
          <w:sz w:val="24"/>
          <w:szCs w:val="24"/>
        </w:rPr>
        <w:tab/>
      </w:r>
      <w:r>
        <w:rPr>
          <w:sz w:val="24"/>
          <w:szCs w:val="24"/>
        </w:rPr>
        <w:tab/>
      </w:r>
      <w:r w:rsidR="0016620A" w:rsidRPr="000C0568">
        <w:rPr>
          <w:sz w:val="24"/>
          <w:szCs w:val="24"/>
        </w:rPr>
        <w:t>No mesmo sentido, ademais, o seguinte julgado do STJ (original sem grifos):</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PROCESSUAL CIVIL E PREVIDENCIÁRIO. AGRAVO REGIMENTAL NO AGRAVO EM RECURSO ESPECIAL. APOSENTADORIA POR TEMPO DE CONTRIBUIÇÃO. CÔMPUTO DE TEMPO ESPECIAL. ENQUADRAMENTO PROFISSIONAL. ROL DE ATIVIDADES ESPECIAIS MERAMENTE EXEMPLIFICATIVO. EFETIVA EXPOSIÇÃO. NÃO COMPROVAÇÃO. AGRAVO NÃO PROVIDO.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 xml:space="preserve">1. A Primeira Seção do STJ, no julgamento do </w:t>
      </w:r>
      <w:proofErr w:type="spellStart"/>
      <w:r w:rsidRPr="000C0568">
        <w:rPr>
          <w:sz w:val="24"/>
          <w:szCs w:val="24"/>
        </w:rPr>
        <w:t>REsp</w:t>
      </w:r>
      <w:proofErr w:type="spellEnd"/>
      <w:r w:rsidRPr="000C0568">
        <w:rPr>
          <w:sz w:val="24"/>
          <w:szCs w:val="24"/>
        </w:rPr>
        <w:t xml:space="preserve"> 1.306.113/SC, sob o rito do art. 543-C do CPC, ao enfrentar o tema ali delimitado relativo à nocividade do agente físico eletricidade para fins de caracterização de tempo de serviço especial, reafirmou o entendimento de que o rol de atividades especiais, constantes nos regulamentos de benefícios da Previdência Social, tem caráter exemplificativo.</w:t>
      </w:r>
    </w:p>
    <w:p w:rsidR="0016620A" w:rsidRPr="000C0568" w:rsidRDefault="0016620A" w:rsidP="006D2AB0">
      <w:pPr>
        <w:autoSpaceDE w:val="0"/>
        <w:autoSpaceDN w:val="0"/>
        <w:adjustRightInd w:val="0"/>
        <w:spacing w:after="0" w:line="240" w:lineRule="auto"/>
        <w:ind w:left="709"/>
        <w:jc w:val="both"/>
        <w:rPr>
          <w:sz w:val="24"/>
          <w:szCs w:val="24"/>
        </w:rPr>
      </w:pPr>
      <w:r w:rsidRPr="000C0568">
        <w:rPr>
          <w:sz w:val="24"/>
          <w:szCs w:val="24"/>
        </w:rPr>
        <w:t>2. Destarte, sendo o rol de atividades especiais meramente exemplificativo, pode o Magistrado reconhecer atividades que não estejam previstas de forma expressa nos Anexos dos Decretos regulamentares como insalubres, perigosas ou penosas, desde que tal situação seja devidamente comprovada.</w:t>
      </w:r>
    </w:p>
    <w:p w:rsidR="0016620A" w:rsidRPr="004705F6" w:rsidRDefault="0016620A" w:rsidP="006D2AB0">
      <w:pPr>
        <w:autoSpaceDE w:val="0"/>
        <w:autoSpaceDN w:val="0"/>
        <w:adjustRightInd w:val="0"/>
        <w:spacing w:after="0" w:line="240" w:lineRule="auto"/>
        <w:ind w:left="709"/>
        <w:jc w:val="both"/>
        <w:rPr>
          <w:sz w:val="24"/>
          <w:szCs w:val="24"/>
          <w:lang w:val="en-US"/>
        </w:rPr>
      </w:pPr>
      <w:r w:rsidRPr="004705F6">
        <w:rPr>
          <w:sz w:val="24"/>
          <w:szCs w:val="24"/>
          <w:lang w:val="en-US"/>
        </w:rPr>
        <w:t>(...)</w:t>
      </w:r>
    </w:p>
    <w:p w:rsidR="0016620A" w:rsidRPr="000C0568" w:rsidRDefault="0016620A" w:rsidP="006D2AB0">
      <w:pPr>
        <w:autoSpaceDE w:val="0"/>
        <w:autoSpaceDN w:val="0"/>
        <w:adjustRightInd w:val="0"/>
        <w:spacing w:after="0" w:line="240" w:lineRule="auto"/>
        <w:ind w:left="709"/>
        <w:jc w:val="both"/>
        <w:rPr>
          <w:sz w:val="24"/>
          <w:szCs w:val="24"/>
        </w:rPr>
      </w:pPr>
      <w:r w:rsidRPr="004705F6">
        <w:rPr>
          <w:sz w:val="24"/>
          <w:szCs w:val="24"/>
          <w:lang w:val="en-US"/>
        </w:rPr>
        <w:t xml:space="preserve">(STJ, </w:t>
      </w:r>
      <w:proofErr w:type="spellStart"/>
      <w:r w:rsidRPr="004705F6">
        <w:rPr>
          <w:sz w:val="24"/>
          <w:szCs w:val="24"/>
          <w:lang w:val="en-US"/>
        </w:rPr>
        <w:t>AgRg</w:t>
      </w:r>
      <w:proofErr w:type="spellEnd"/>
      <w:r w:rsidRPr="004705F6">
        <w:rPr>
          <w:sz w:val="24"/>
          <w:szCs w:val="24"/>
          <w:lang w:val="en-US"/>
        </w:rPr>
        <w:t xml:space="preserve"> no </w:t>
      </w:r>
      <w:proofErr w:type="spellStart"/>
      <w:r w:rsidRPr="004705F6">
        <w:rPr>
          <w:sz w:val="24"/>
          <w:szCs w:val="24"/>
          <w:lang w:val="en-US"/>
        </w:rPr>
        <w:t>AREsp</w:t>
      </w:r>
      <w:proofErr w:type="spellEnd"/>
      <w:r w:rsidRPr="004705F6">
        <w:rPr>
          <w:sz w:val="24"/>
          <w:szCs w:val="24"/>
          <w:lang w:val="en-US"/>
        </w:rPr>
        <w:t xml:space="preserve"> 827</w:t>
      </w:r>
      <w:r w:rsidR="00A035AC">
        <w:rPr>
          <w:sz w:val="24"/>
          <w:szCs w:val="24"/>
          <w:lang w:val="en-US"/>
        </w:rPr>
        <w:t>.</w:t>
      </w:r>
      <w:r w:rsidRPr="004705F6">
        <w:rPr>
          <w:sz w:val="24"/>
          <w:szCs w:val="24"/>
          <w:lang w:val="en-US"/>
        </w:rPr>
        <w:t xml:space="preserve">072 / RS, Rel. </w:t>
      </w:r>
      <w:r w:rsidRPr="000C0568">
        <w:rPr>
          <w:sz w:val="24"/>
          <w:szCs w:val="24"/>
        </w:rPr>
        <w:t>Min. Mauro Campbell Marques, Segunda Turma, j. 1/3</w:t>
      </w:r>
      <w:r w:rsidR="00A035AC">
        <w:rPr>
          <w:sz w:val="24"/>
          <w:szCs w:val="24"/>
        </w:rPr>
        <w:t>/</w:t>
      </w:r>
      <w:r w:rsidRPr="000C0568">
        <w:rPr>
          <w:sz w:val="24"/>
          <w:szCs w:val="24"/>
        </w:rPr>
        <w:t xml:space="preserve">2016, </w:t>
      </w:r>
      <w:proofErr w:type="spellStart"/>
      <w:r w:rsidRPr="000C0568">
        <w:rPr>
          <w:sz w:val="24"/>
          <w:szCs w:val="24"/>
        </w:rPr>
        <w:t>DJe</w:t>
      </w:r>
      <w:proofErr w:type="spellEnd"/>
      <w:r w:rsidRPr="000C0568">
        <w:rPr>
          <w:sz w:val="24"/>
          <w:szCs w:val="24"/>
        </w:rPr>
        <w:t xml:space="preserve"> 8/3/2016)</w:t>
      </w:r>
      <w:r w:rsidR="00A035AC">
        <w:rPr>
          <w:sz w:val="24"/>
          <w:szCs w:val="24"/>
        </w:rPr>
        <w:t>.</w:t>
      </w:r>
    </w:p>
    <w:p w:rsidR="0016620A" w:rsidRPr="000C0568" w:rsidRDefault="0016620A" w:rsidP="00533432">
      <w:pPr>
        <w:autoSpaceDE w:val="0"/>
        <w:autoSpaceDN w:val="0"/>
        <w:adjustRightInd w:val="0"/>
        <w:spacing w:after="200" w:line="360" w:lineRule="auto"/>
        <w:jc w:val="both"/>
        <w:rPr>
          <w:sz w:val="24"/>
          <w:szCs w:val="24"/>
        </w:rPr>
      </w:pPr>
    </w:p>
    <w:p w:rsidR="0016620A" w:rsidRPr="000C0568" w:rsidRDefault="00533432" w:rsidP="00533432">
      <w:pPr>
        <w:autoSpaceDE w:val="0"/>
        <w:autoSpaceDN w:val="0"/>
        <w:adjustRightInd w:val="0"/>
        <w:spacing w:after="200" w:line="360" w:lineRule="auto"/>
        <w:jc w:val="both"/>
        <w:rPr>
          <w:sz w:val="24"/>
          <w:szCs w:val="24"/>
        </w:rPr>
      </w:pPr>
      <w:r>
        <w:rPr>
          <w:sz w:val="24"/>
          <w:szCs w:val="24"/>
        </w:rPr>
        <w:t>55.</w:t>
      </w:r>
      <w:r>
        <w:rPr>
          <w:sz w:val="24"/>
          <w:szCs w:val="24"/>
        </w:rPr>
        <w:tab/>
      </w:r>
      <w:r>
        <w:rPr>
          <w:sz w:val="24"/>
          <w:szCs w:val="24"/>
        </w:rPr>
        <w:tab/>
      </w:r>
      <w:r w:rsidR="0016620A" w:rsidRPr="000C0568">
        <w:rPr>
          <w:sz w:val="24"/>
          <w:szCs w:val="24"/>
        </w:rPr>
        <w:t xml:space="preserve">Verifica-se, assim, </w:t>
      </w:r>
      <w:r w:rsidR="00B7302A" w:rsidRPr="000C0568">
        <w:rPr>
          <w:sz w:val="24"/>
          <w:szCs w:val="24"/>
        </w:rPr>
        <w:t>a possibilidade de</w:t>
      </w:r>
      <w:r w:rsidR="0016620A" w:rsidRPr="000C0568">
        <w:rPr>
          <w:sz w:val="24"/>
          <w:szCs w:val="24"/>
        </w:rPr>
        <w:t xml:space="preserve"> divergência entre dois Recursos Especiais </w:t>
      </w:r>
      <w:r w:rsidR="00A035AC">
        <w:rPr>
          <w:sz w:val="24"/>
          <w:szCs w:val="24"/>
        </w:rPr>
        <w:t>R</w:t>
      </w:r>
      <w:r w:rsidR="0016620A" w:rsidRPr="000C0568">
        <w:rPr>
          <w:sz w:val="24"/>
          <w:szCs w:val="24"/>
        </w:rPr>
        <w:t>epresentativos d</w:t>
      </w:r>
      <w:r w:rsidR="00A035AC">
        <w:rPr>
          <w:sz w:val="24"/>
          <w:szCs w:val="24"/>
        </w:rPr>
        <w:t>a</w:t>
      </w:r>
      <w:r w:rsidR="0016620A" w:rsidRPr="000C0568">
        <w:rPr>
          <w:sz w:val="24"/>
          <w:szCs w:val="24"/>
        </w:rPr>
        <w:t xml:space="preserve"> </w:t>
      </w:r>
      <w:r w:rsidR="00A035AC">
        <w:rPr>
          <w:sz w:val="24"/>
          <w:szCs w:val="24"/>
        </w:rPr>
        <w:t>C</w:t>
      </w:r>
      <w:r w:rsidR="0016620A" w:rsidRPr="000C0568">
        <w:rPr>
          <w:sz w:val="24"/>
          <w:szCs w:val="24"/>
        </w:rPr>
        <w:t xml:space="preserve">ontrovérsia, julgados pela sistemática do art. 543-C do CPC/1973, pois no </w:t>
      </w:r>
      <w:proofErr w:type="spellStart"/>
      <w:r w:rsidR="0016620A" w:rsidRPr="000C0568">
        <w:rPr>
          <w:sz w:val="24"/>
          <w:szCs w:val="24"/>
        </w:rPr>
        <w:t>REsp</w:t>
      </w:r>
      <w:proofErr w:type="spellEnd"/>
      <w:r w:rsidR="0016620A" w:rsidRPr="000C0568">
        <w:rPr>
          <w:sz w:val="24"/>
          <w:szCs w:val="24"/>
        </w:rPr>
        <w:t xml:space="preserve"> repetitivo 1.398.260/PR há a vedação à especialização de ruído em intensidade de 85 decibéis, ante o fato de regulamento prever intensidade superior, ao passo que o </w:t>
      </w:r>
      <w:proofErr w:type="spellStart"/>
      <w:r w:rsidR="0016620A" w:rsidRPr="000C0568">
        <w:rPr>
          <w:sz w:val="24"/>
          <w:szCs w:val="24"/>
        </w:rPr>
        <w:t>REsp</w:t>
      </w:r>
      <w:proofErr w:type="spellEnd"/>
      <w:r w:rsidR="0016620A" w:rsidRPr="000C0568">
        <w:rPr>
          <w:sz w:val="24"/>
          <w:szCs w:val="24"/>
        </w:rPr>
        <w:t xml:space="preserve"> repetitivo 1.306.113/SC determina a especialização de qualquer atividade </w:t>
      </w:r>
      <w:r w:rsidR="00A035AC">
        <w:rPr>
          <w:sz w:val="24"/>
          <w:szCs w:val="24"/>
        </w:rPr>
        <w:t>na qual</w:t>
      </w:r>
      <w:r w:rsidR="0016620A" w:rsidRPr="000C0568">
        <w:rPr>
          <w:sz w:val="24"/>
          <w:szCs w:val="24"/>
        </w:rPr>
        <w:t xml:space="preserve"> se comprove a exposição a agentes prejudiciais à saúde do trabalhador, independente de inscrição em regulamento, por meio de critérios técnicos e, inclusive, levando em consideração a legislação trabalhista.</w:t>
      </w:r>
    </w:p>
    <w:p w:rsidR="0016620A" w:rsidRPr="000C0568" w:rsidRDefault="00533432" w:rsidP="00533432">
      <w:pPr>
        <w:autoSpaceDE w:val="0"/>
        <w:autoSpaceDN w:val="0"/>
        <w:adjustRightInd w:val="0"/>
        <w:spacing w:after="200" w:line="360" w:lineRule="auto"/>
        <w:jc w:val="both"/>
        <w:rPr>
          <w:sz w:val="24"/>
          <w:szCs w:val="24"/>
        </w:rPr>
      </w:pPr>
      <w:r>
        <w:rPr>
          <w:sz w:val="24"/>
          <w:szCs w:val="24"/>
        </w:rPr>
        <w:t>56.</w:t>
      </w:r>
      <w:r>
        <w:rPr>
          <w:sz w:val="24"/>
          <w:szCs w:val="24"/>
        </w:rPr>
        <w:tab/>
      </w:r>
      <w:r>
        <w:rPr>
          <w:sz w:val="24"/>
          <w:szCs w:val="24"/>
        </w:rPr>
        <w:tab/>
      </w:r>
      <w:r w:rsidR="0016620A" w:rsidRPr="000C0568">
        <w:rPr>
          <w:sz w:val="24"/>
          <w:szCs w:val="24"/>
        </w:rPr>
        <w:t>Tal divergência tem gerado acórdãos</w:t>
      </w:r>
      <w:r w:rsidR="00A035AC">
        <w:rPr>
          <w:sz w:val="24"/>
          <w:szCs w:val="24"/>
        </w:rPr>
        <w:t>, nos quais</w:t>
      </w:r>
      <w:r w:rsidR="0016620A" w:rsidRPr="000C0568">
        <w:rPr>
          <w:sz w:val="24"/>
          <w:szCs w:val="24"/>
        </w:rPr>
        <w:t xml:space="preserve"> se manifestam perplexidades como o abaixo ementado (original sem grifos):</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lastRenderedPageBreak/>
        <w:t xml:space="preserve">PREVIDENCIÁRIO.  EMBARGOS DE DECLARAÇÃO NO AGRAVO REGIMENTAL NO </w:t>
      </w:r>
      <w:proofErr w:type="gramStart"/>
      <w:r w:rsidRPr="000C0568">
        <w:rPr>
          <w:sz w:val="24"/>
          <w:szCs w:val="24"/>
        </w:rPr>
        <w:t>RECURSO  ESPECIAL</w:t>
      </w:r>
      <w:proofErr w:type="gramEnd"/>
      <w:r w:rsidRPr="000C0568">
        <w:rPr>
          <w:sz w:val="24"/>
          <w:szCs w:val="24"/>
        </w:rPr>
        <w:t xml:space="preserve">. ERRO MATERIAL. ACÓRDÃO DE FLS. 598/599 NÃO GUARDA PERTINÊNCIA COM A MATÉRIA TRATADO NOS AUTOS.  IMPONDO-SE A SUA ANULAÇÃO.  PRINCÍPIO DA CELERIDADE RECURSAL. APRECIAÇÃO DO AGRAVO REGIMENTAL INTERPOSTO PELO SEGURADO.  ATIVIDADE SOB CONDIÇÕES ESPECIAIS.  LEGISLAÇÃO VIGENTE À ÉPOCA EM QUE OS SERVIÇOS FORAM PRESTADOS.  ATIVIDADE INSALUBRE.  NÍVEL MÍNIMO DE RUÍDO. LIMITE DE TOLERÂNCIA.  DECRETO 3.048/1999 ALTERADO PELO DECRETO 4.882/2003. ORIENTAÇÃO CONSOLIDADA </w:t>
      </w:r>
      <w:proofErr w:type="gramStart"/>
      <w:r w:rsidRPr="000C0568">
        <w:rPr>
          <w:sz w:val="24"/>
          <w:szCs w:val="24"/>
        </w:rPr>
        <w:t>NO  JULGAMENTO</w:t>
      </w:r>
      <w:proofErr w:type="gramEnd"/>
      <w:r w:rsidRPr="000C0568">
        <w:rPr>
          <w:sz w:val="24"/>
          <w:szCs w:val="24"/>
        </w:rPr>
        <w:t xml:space="preserve">  DO RESP. 1.398.260/PR, REL. MIN. HERMAN BENJAMIN, DJE 5.12.2014. RESSALVA DO PONTO DE VISTA DO RELATOR. AGRAVO REGIMENTAL DO SEGURADO A QUE SE NEGA PROVIMENTO.</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 xml:space="preserve">4.  Defendo que não é a lei ou norma, ou decreto, ou resolução, ou instrução ou sentença judicial que torna determinado nível de ruído lesivo.  A </w:t>
      </w:r>
      <w:proofErr w:type="gramStart"/>
      <w:r w:rsidRPr="000C0568">
        <w:rPr>
          <w:sz w:val="24"/>
          <w:szCs w:val="24"/>
        </w:rPr>
        <w:t>lesividade  é</w:t>
      </w:r>
      <w:proofErr w:type="gramEnd"/>
      <w:r w:rsidRPr="000C0568">
        <w:rPr>
          <w:sz w:val="24"/>
          <w:szCs w:val="24"/>
        </w:rPr>
        <w:t xml:space="preserve">  um  dado  objetivo,  danoso à saúde e que prejudica  o  equilíbrio  da  pessoa, independentemente de haver, ou não,  uma  norma  reconhecendo  tal  ocorrência.  </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 xml:space="preserve">5.  Assim, se há critérios científicos que reconhecem a ofensa à saúde do Trabalhador em face de ruído a partir de 85 decibéis, são esses os critérios que devem prevalecer, tendo em vista a função protetiva do benefício. Não há </w:t>
      </w:r>
      <w:proofErr w:type="gramStart"/>
      <w:r w:rsidRPr="000C0568">
        <w:rPr>
          <w:sz w:val="24"/>
          <w:szCs w:val="24"/>
        </w:rPr>
        <w:t>como  sustentar</w:t>
      </w:r>
      <w:proofErr w:type="gramEnd"/>
      <w:r w:rsidRPr="000C0568">
        <w:rPr>
          <w:sz w:val="24"/>
          <w:szCs w:val="24"/>
        </w:rPr>
        <w:t xml:space="preserve"> que, até 1997, o nível de ruído acima de 85 decibéis não era prejudicial ao Segurado.</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 xml:space="preserve">6.  Ocorre que esta Corte no julgamento do Recurso Especial, representativo da </w:t>
      </w:r>
      <w:proofErr w:type="gramStart"/>
      <w:r w:rsidRPr="000C0568">
        <w:rPr>
          <w:sz w:val="24"/>
          <w:szCs w:val="24"/>
        </w:rPr>
        <w:t>controvérsia,  1.398.260</w:t>
      </w:r>
      <w:proofErr w:type="gramEnd"/>
      <w:r w:rsidRPr="000C0568">
        <w:rPr>
          <w:sz w:val="24"/>
          <w:szCs w:val="24"/>
        </w:rPr>
        <w:t xml:space="preserve">/PR,  Rel.  Min.  HERMAN </w:t>
      </w:r>
      <w:proofErr w:type="gramStart"/>
      <w:r w:rsidRPr="000C0568">
        <w:rPr>
          <w:sz w:val="24"/>
          <w:szCs w:val="24"/>
        </w:rPr>
        <w:t xml:space="preserve">BENJAMIN,   </w:t>
      </w:r>
      <w:proofErr w:type="gramEnd"/>
      <w:r w:rsidRPr="000C0568">
        <w:rPr>
          <w:sz w:val="24"/>
          <w:szCs w:val="24"/>
        </w:rPr>
        <w:t>no   qual  sai  vencido,  consolidou-se  nesta  Corte  a orientação  de  que  o  limite  de  tolerância  para configuração da especialidade do tempo de serviço para o agente ruído deve ser de 90 dB no período de 6.3.1997 a 18.11.2003, conforme Anexo IV do Decreto 2.172/1997 e Anexo IV do Decreto 3.048/1999.</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7.   Agravo Regimental do Segurado a que se nega provimento.</w:t>
      </w:r>
    </w:p>
    <w:p w:rsidR="0016620A" w:rsidRPr="000C0568" w:rsidRDefault="0016620A" w:rsidP="00B7302A">
      <w:pPr>
        <w:autoSpaceDE w:val="0"/>
        <w:autoSpaceDN w:val="0"/>
        <w:adjustRightInd w:val="0"/>
        <w:spacing w:after="0" w:line="240" w:lineRule="auto"/>
        <w:ind w:left="709"/>
        <w:jc w:val="both"/>
        <w:rPr>
          <w:sz w:val="24"/>
          <w:szCs w:val="24"/>
        </w:rPr>
      </w:pPr>
      <w:r w:rsidRPr="000C0568">
        <w:rPr>
          <w:sz w:val="24"/>
          <w:szCs w:val="24"/>
        </w:rPr>
        <w:t xml:space="preserve">(STJ, </w:t>
      </w:r>
      <w:proofErr w:type="spellStart"/>
      <w:r w:rsidRPr="000C0568">
        <w:rPr>
          <w:sz w:val="24"/>
          <w:szCs w:val="24"/>
        </w:rPr>
        <w:t>EDcl</w:t>
      </w:r>
      <w:proofErr w:type="spellEnd"/>
      <w:r w:rsidRPr="000C0568">
        <w:rPr>
          <w:sz w:val="24"/>
          <w:szCs w:val="24"/>
        </w:rPr>
        <w:t xml:space="preserve"> no </w:t>
      </w:r>
      <w:proofErr w:type="spellStart"/>
      <w:r w:rsidRPr="000C0568">
        <w:rPr>
          <w:sz w:val="24"/>
          <w:szCs w:val="24"/>
        </w:rPr>
        <w:t>AgRg</w:t>
      </w:r>
      <w:proofErr w:type="spellEnd"/>
      <w:r w:rsidRPr="000C0568">
        <w:rPr>
          <w:sz w:val="24"/>
          <w:szCs w:val="24"/>
        </w:rPr>
        <w:t xml:space="preserve"> no </w:t>
      </w:r>
      <w:proofErr w:type="spellStart"/>
      <w:r w:rsidRPr="000C0568">
        <w:rPr>
          <w:sz w:val="24"/>
          <w:szCs w:val="24"/>
        </w:rPr>
        <w:t>REsp</w:t>
      </w:r>
      <w:proofErr w:type="spellEnd"/>
      <w:r w:rsidRPr="000C0568">
        <w:rPr>
          <w:sz w:val="24"/>
          <w:szCs w:val="24"/>
        </w:rPr>
        <w:t xml:space="preserve"> 1</w:t>
      </w:r>
      <w:r w:rsidR="00A035AC">
        <w:rPr>
          <w:sz w:val="24"/>
          <w:szCs w:val="24"/>
        </w:rPr>
        <w:t>.</w:t>
      </w:r>
      <w:r w:rsidRPr="000C0568">
        <w:rPr>
          <w:sz w:val="24"/>
          <w:szCs w:val="24"/>
        </w:rPr>
        <w:t>398</w:t>
      </w:r>
      <w:r w:rsidR="00A035AC">
        <w:rPr>
          <w:sz w:val="24"/>
          <w:szCs w:val="24"/>
        </w:rPr>
        <w:t>.</w:t>
      </w:r>
      <w:r w:rsidRPr="000C0568">
        <w:rPr>
          <w:sz w:val="24"/>
          <w:szCs w:val="24"/>
        </w:rPr>
        <w:t xml:space="preserve">544 / PR, Re. Min. Napoleão Nunes Maia Filho, Primeira Turma, j. 15/8/2017, </w:t>
      </w:r>
      <w:proofErr w:type="spellStart"/>
      <w:r w:rsidRPr="000C0568">
        <w:rPr>
          <w:sz w:val="24"/>
          <w:szCs w:val="24"/>
        </w:rPr>
        <w:t>DJe</w:t>
      </w:r>
      <w:proofErr w:type="spellEnd"/>
      <w:r w:rsidRPr="000C0568">
        <w:rPr>
          <w:sz w:val="24"/>
          <w:szCs w:val="24"/>
        </w:rPr>
        <w:t xml:space="preserve"> 28/8/2017)</w:t>
      </w:r>
    </w:p>
    <w:p w:rsidR="0016620A" w:rsidRPr="000C0568" w:rsidRDefault="00480E83" w:rsidP="00480E83">
      <w:pPr>
        <w:tabs>
          <w:tab w:val="left" w:pos="6458"/>
        </w:tabs>
        <w:autoSpaceDE w:val="0"/>
        <w:autoSpaceDN w:val="0"/>
        <w:adjustRightInd w:val="0"/>
        <w:spacing w:after="0" w:line="240" w:lineRule="auto"/>
        <w:jc w:val="both"/>
        <w:rPr>
          <w:sz w:val="24"/>
          <w:szCs w:val="24"/>
        </w:rPr>
      </w:pPr>
      <w:r>
        <w:rPr>
          <w:sz w:val="24"/>
          <w:szCs w:val="24"/>
        </w:rPr>
        <w:tab/>
      </w:r>
    </w:p>
    <w:p w:rsidR="00B7302A" w:rsidRDefault="00B7302A" w:rsidP="00480E83">
      <w:pPr>
        <w:autoSpaceDE w:val="0"/>
        <w:autoSpaceDN w:val="0"/>
        <w:adjustRightInd w:val="0"/>
        <w:spacing w:after="200" w:line="360" w:lineRule="auto"/>
        <w:jc w:val="both"/>
        <w:rPr>
          <w:sz w:val="24"/>
          <w:szCs w:val="24"/>
        </w:rPr>
      </w:pPr>
    </w:p>
    <w:p w:rsidR="00533432" w:rsidRPr="00533432" w:rsidRDefault="00533432" w:rsidP="00480E83">
      <w:pPr>
        <w:autoSpaceDE w:val="0"/>
        <w:autoSpaceDN w:val="0"/>
        <w:adjustRightInd w:val="0"/>
        <w:spacing w:after="200" w:line="360" w:lineRule="auto"/>
        <w:jc w:val="both"/>
        <w:rPr>
          <w:b/>
          <w:sz w:val="24"/>
          <w:szCs w:val="24"/>
        </w:rPr>
      </w:pPr>
      <w:r w:rsidRPr="00533432">
        <w:rPr>
          <w:b/>
          <w:sz w:val="24"/>
          <w:szCs w:val="24"/>
        </w:rPr>
        <w:t>CONCLUSÕES</w:t>
      </w:r>
    </w:p>
    <w:p w:rsidR="00B7302A" w:rsidRDefault="00533432" w:rsidP="00533432">
      <w:pPr>
        <w:autoSpaceDE w:val="0"/>
        <w:autoSpaceDN w:val="0"/>
        <w:adjustRightInd w:val="0"/>
        <w:spacing w:after="200" w:line="360" w:lineRule="auto"/>
        <w:jc w:val="both"/>
        <w:rPr>
          <w:sz w:val="24"/>
          <w:szCs w:val="24"/>
        </w:rPr>
      </w:pPr>
      <w:r>
        <w:rPr>
          <w:sz w:val="24"/>
          <w:szCs w:val="24"/>
        </w:rPr>
        <w:t>57.</w:t>
      </w:r>
      <w:r>
        <w:rPr>
          <w:sz w:val="24"/>
          <w:szCs w:val="24"/>
        </w:rPr>
        <w:tab/>
      </w:r>
      <w:r>
        <w:rPr>
          <w:sz w:val="24"/>
          <w:szCs w:val="24"/>
        </w:rPr>
        <w:tab/>
      </w:r>
      <w:r w:rsidR="00B7302A" w:rsidRPr="000C0568">
        <w:rPr>
          <w:sz w:val="24"/>
          <w:szCs w:val="24"/>
        </w:rPr>
        <w:t xml:space="preserve">No </w:t>
      </w:r>
      <w:proofErr w:type="spellStart"/>
      <w:r w:rsidR="00B7302A" w:rsidRPr="000C0568">
        <w:rPr>
          <w:sz w:val="24"/>
          <w:szCs w:val="24"/>
        </w:rPr>
        <w:t>REsp</w:t>
      </w:r>
      <w:proofErr w:type="spellEnd"/>
      <w:r w:rsidR="00B7302A" w:rsidRPr="000C0568">
        <w:rPr>
          <w:sz w:val="24"/>
          <w:szCs w:val="24"/>
        </w:rPr>
        <w:t xml:space="preserve"> repetitivo 1.398.260/PR há a vedação à especialização de ruído em intensidade de 85 decibéis, ante o fato de regulamento prever intensidade </w:t>
      </w:r>
      <w:r w:rsidR="00B7302A" w:rsidRPr="000C0568">
        <w:rPr>
          <w:sz w:val="24"/>
          <w:szCs w:val="24"/>
        </w:rPr>
        <w:lastRenderedPageBreak/>
        <w:t xml:space="preserve">superior, ao passo que o </w:t>
      </w:r>
      <w:proofErr w:type="spellStart"/>
      <w:r w:rsidR="00B7302A" w:rsidRPr="000C0568">
        <w:rPr>
          <w:sz w:val="24"/>
          <w:szCs w:val="24"/>
        </w:rPr>
        <w:t>REsp</w:t>
      </w:r>
      <w:proofErr w:type="spellEnd"/>
      <w:r w:rsidR="00B7302A" w:rsidRPr="000C0568">
        <w:rPr>
          <w:sz w:val="24"/>
          <w:szCs w:val="24"/>
        </w:rPr>
        <w:t xml:space="preserve"> repetitivo 1.306.113/SC determina a especialização de qualquer atividade </w:t>
      </w:r>
      <w:r w:rsidR="00A035AC">
        <w:rPr>
          <w:sz w:val="24"/>
          <w:szCs w:val="24"/>
        </w:rPr>
        <w:t>na qual</w:t>
      </w:r>
      <w:r w:rsidR="00B7302A" w:rsidRPr="000C0568">
        <w:rPr>
          <w:sz w:val="24"/>
          <w:szCs w:val="24"/>
        </w:rPr>
        <w:t xml:space="preserve"> se comprove a exposição a agentes prejudiciais à saúde do trabalhador, independente de inscrição em regulamento, por meio de critérios técnicos e, inclusive, levando em consideração a legislação trabalhista.</w:t>
      </w:r>
    </w:p>
    <w:p w:rsidR="00F94B28" w:rsidRDefault="00533432" w:rsidP="00533432">
      <w:pPr>
        <w:autoSpaceDE w:val="0"/>
        <w:autoSpaceDN w:val="0"/>
        <w:adjustRightInd w:val="0"/>
        <w:spacing w:after="200" w:line="360" w:lineRule="auto"/>
        <w:jc w:val="both"/>
        <w:rPr>
          <w:sz w:val="24"/>
          <w:szCs w:val="24"/>
        </w:rPr>
      </w:pPr>
      <w:r>
        <w:rPr>
          <w:sz w:val="24"/>
          <w:szCs w:val="24"/>
        </w:rPr>
        <w:t>58.</w:t>
      </w:r>
      <w:r>
        <w:rPr>
          <w:sz w:val="24"/>
          <w:szCs w:val="24"/>
        </w:rPr>
        <w:tab/>
      </w:r>
      <w:r>
        <w:rPr>
          <w:sz w:val="24"/>
          <w:szCs w:val="24"/>
        </w:rPr>
        <w:tab/>
      </w:r>
      <w:r w:rsidR="00B7302A" w:rsidRPr="000C0568">
        <w:rPr>
          <w:sz w:val="24"/>
          <w:szCs w:val="24"/>
        </w:rPr>
        <w:t xml:space="preserve">De tal modo, </w:t>
      </w:r>
      <w:r w:rsidR="00306F85" w:rsidRPr="000C0568">
        <w:rPr>
          <w:sz w:val="24"/>
          <w:szCs w:val="24"/>
        </w:rPr>
        <w:t xml:space="preserve">já se identificam </w:t>
      </w:r>
      <w:r w:rsidR="00B7302A" w:rsidRPr="000C0568">
        <w:rPr>
          <w:sz w:val="24"/>
          <w:szCs w:val="24"/>
        </w:rPr>
        <w:t xml:space="preserve">interpretações divergentes </w:t>
      </w:r>
      <w:r w:rsidR="00306F85" w:rsidRPr="000C0568">
        <w:rPr>
          <w:sz w:val="24"/>
          <w:szCs w:val="24"/>
        </w:rPr>
        <w:t>e</w:t>
      </w:r>
      <w:r w:rsidR="00B7302A" w:rsidRPr="000C0568">
        <w:rPr>
          <w:sz w:val="24"/>
          <w:szCs w:val="24"/>
        </w:rPr>
        <w:t xml:space="preserve">xtraídas dos julgamentos de dois Recursos Especiais </w:t>
      </w:r>
      <w:r w:rsidR="00A035AC">
        <w:rPr>
          <w:sz w:val="24"/>
          <w:szCs w:val="24"/>
        </w:rPr>
        <w:t>R</w:t>
      </w:r>
      <w:r w:rsidR="00B7302A" w:rsidRPr="000C0568">
        <w:rPr>
          <w:sz w:val="24"/>
          <w:szCs w:val="24"/>
        </w:rPr>
        <w:t>epresentativos d</w:t>
      </w:r>
      <w:r w:rsidR="00A035AC">
        <w:rPr>
          <w:sz w:val="24"/>
          <w:szCs w:val="24"/>
        </w:rPr>
        <w:t>a</w:t>
      </w:r>
      <w:r w:rsidR="00B7302A" w:rsidRPr="000C0568">
        <w:rPr>
          <w:sz w:val="24"/>
          <w:szCs w:val="24"/>
        </w:rPr>
        <w:t xml:space="preserve"> </w:t>
      </w:r>
      <w:r w:rsidR="00A035AC">
        <w:rPr>
          <w:sz w:val="24"/>
          <w:szCs w:val="24"/>
        </w:rPr>
        <w:t>C</w:t>
      </w:r>
      <w:r w:rsidR="00B7302A" w:rsidRPr="000C0568">
        <w:rPr>
          <w:sz w:val="24"/>
          <w:szCs w:val="24"/>
        </w:rPr>
        <w:t>ontrovérsia, julgados pela sistemática do art. 543-C do CPC/1973</w:t>
      </w:r>
      <w:r w:rsidR="00F94B28" w:rsidRPr="000C0568">
        <w:rPr>
          <w:sz w:val="24"/>
          <w:szCs w:val="24"/>
        </w:rPr>
        <w:t>.</w:t>
      </w:r>
    </w:p>
    <w:p w:rsidR="00411F3A" w:rsidRDefault="00533432" w:rsidP="00533432">
      <w:pPr>
        <w:autoSpaceDE w:val="0"/>
        <w:autoSpaceDN w:val="0"/>
        <w:adjustRightInd w:val="0"/>
        <w:spacing w:after="200" w:line="360" w:lineRule="auto"/>
        <w:jc w:val="both"/>
        <w:rPr>
          <w:sz w:val="24"/>
          <w:szCs w:val="24"/>
        </w:rPr>
      </w:pPr>
      <w:r>
        <w:rPr>
          <w:sz w:val="24"/>
          <w:szCs w:val="24"/>
        </w:rPr>
        <w:t>59.</w:t>
      </w:r>
      <w:r>
        <w:rPr>
          <w:sz w:val="24"/>
          <w:szCs w:val="24"/>
        </w:rPr>
        <w:tab/>
      </w:r>
      <w:r>
        <w:rPr>
          <w:sz w:val="24"/>
          <w:szCs w:val="24"/>
        </w:rPr>
        <w:tab/>
      </w:r>
      <w:r w:rsidR="00F94B28" w:rsidRPr="000C0568">
        <w:rPr>
          <w:sz w:val="24"/>
          <w:szCs w:val="24"/>
        </w:rPr>
        <w:t xml:space="preserve">Tal questão, ademais, e as repetidas oscilações no regramento da qualificação do tempo de serviço especial referente ao ruído ao longo do tempo, geram reiteradas perplexidades por parte dos segurados e de todos os atores do sistema de </w:t>
      </w:r>
      <w:r w:rsidR="00A035AC">
        <w:rPr>
          <w:sz w:val="24"/>
          <w:szCs w:val="24"/>
        </w:rPr>
        <w:t>J</w:t>
      </w:r>
      <w:r w:rsidR="00F94B28" w:rsidRPr="000C0568">
        <w:rPr>
          <w:sz w:val="24"/>
          <w:szCs w:val="24"/>
        </w:rPr>
        <w:t xml:space="preserve">ustiça, com potencial </w:t>
      </w:r>
      <w:r w:rsidR="00411F3A" w:rsidRPr="000C0568">
        <w:rPr>
          <w:sz w:val="24"/>
          <w:szCs w:val="24"/>
        </w:rPr>
        <w:t>reiterado de litigiosidade e repetitividade.</w:t>
      </w:r>
    </w:p>
    <w:p w:rsidR="00411F3A" w:rsidRDefault="00533432" w:rsidP="00533432">
      <w:pPr>
        <w:autoSpaceDE w:val="0"/>
        <w:autoSpaceDN w:val="0"/>
        <w:adjustRightInd w:val="0"/>
        <w:spacing w:after="200" w:line="360" w:lineRule="auto"/>
        <w:jc w:val="both"/>
        <w:rPr>
          <w:sz w:val="24"/>
          <w:szCs w:val="24"/>
        </w:rPr>
      </w:pPr>
      <w:r>
        <w:rPr>
          <w:sz w:val="24"/>
          <w:szCs w:val="24"/>
        </w:rPr>
        <w:t>60.</w:t>
      </w:r>
      <w:r>
        <w:rPr>
          <w:sz w:val="24"/>
          <w:szCs w:val="24"/>
        </w:rPr>
        <w:tab/>
      </w:r>
      <w:r>
        <w:rPr>
          <w:sz w:val="24"/>
          <w:szCs w:val="24"/>
        </w:rPr>
        <w:tab/>
      </w:r>
      <w:r w:rsidR="00411F3A" w:rsidRPr="000C0568">
        <w:rPr>
          <w:sz w:val="24"/>
          <w:szCs w:val="24"/>
        </w:rPr>
        <w:t>Como se trata, entretanto, de matéria de fundo jurisdicional, que envolve a fixação de teses jurídicas, o Centro Nacional de Inteligência entende que, no momento, não é caso de recomendar a afetação de recurso, mas sim de monitorar as decisões que vêm sendo produzidas</w:t>
      </w:r>
      <w:r w:rsidR="00306F85" w:rsidRPr="000C0568">
        <w:rPr>
          <w:sz w:val="24"/>
          <w:szCs w:val="24"/>
        </w:rPr>
        <w:t xml:space="preserve"> na interpretação dos referidos precedentes</w:t>
      </w:r>
      <w:r w:rsidR="00411F3A" w:rsidRPr="000C0568">
        <w:rPr>
          <w:sz w:val="24"/>
          <w:szCs w:val="24"/>
        </w:rPr>
        <w:t xml:space="preserve"> e aprofundar as reflexões sobre o tema</w:t>
      </w:r>
      <w:r w:rsidR="00306F85" w:rsidRPr="000C0568">
        <w:rPr>
          <w:sz w:val="24"/>
          <w:szCs w:val="24"/>
        </w:rPr>
        <w:t>, sob a perspectiva da segurança jurídica</w:t>
      </w:r>
      <w:r w:rsidR="00411F3A" w:rsidRPr="000C0568">
        <w:rPr>
          <w:sz w:val="24"/>
          <w:szCs w:val="24"/>
        </w:rPr>
        <w:t>.</w:t>
      </w:r>
    </w:p>
    <w:p w:rsidR="00F94B28" w:rsidRPr="000C0568" w:rsidRDefault="00533432" w:rsidP="00533432">
      <w:pPr>
        <w:autoSpaceDE w:val="0"/>
        <w:autoSpaceDN w:val="0"/>
        <w:adjustRightInd w:val="0"/>
        <w:spacing w:after="200" w:line="360" w:lineRule="auto"/>
        <w:jc w:val="both"/>
        <w:rPr>
          <w:sz w:val="24"/>
          <w:szCs w:val="24"/>
        </w:rPr>
      </w:pPr>
      <w:r>
        <w:rPr>
          <w:sz w:val="24"/>
          <w:szCs w:val="24"/>
        </w:rPr>
        <w:t>61.</w:t>
      </w:r>
      <w:r>
        <w:rPr>
          <w:sz w:val="24"/>
          <w:szCs w:val="24"/>
        </w:rPr>
        <w:tab/>
      </w:r>
      <w:r>
        <w:rPr>
          <w:sz w:val="24"/>
          <w:szCs w:val="24"/>
        </w:rPr>
        <w:tab/>
      </w:r>
      <w:r w:rsidR="00411F3A" w:rsidRPr="000C0568">
        <w:rPr>
          <w:sz w:val="24"/>
          <w:szCs w:val="24"/>
        </w:rPr>
        <w:t xml:space="preserve">Para tanto, sugere o Centro Nacional de Inteligência, com base no </w:t>
      </w:r>
      <w:r w:rsidR="00A035AC">
        <w:rPr>
          <w:sz w:val="24"/>
          <w:szCs w:val="24"/>
        </w:rPr>
        <w:t>a</w:t>
      </w:r>
      <w:r w:rsidR="00411F3A" w:rsidRPr="000C0568">
        <w:rPr>
          <w:sz w:val="24"/>
          <w:szCs w:val="24"/>
        </w:rPr>
        <w:t>rt. 2, inc</w:t>
      </w:r>
      <w:r w:rsidR="00A035AC">
        <w:rPr>
          <w:sz w:val="24"/>
          <w:szCs w:val="24"/>
        </w:rPr>
        <w:t>. II, alínea “c”, da Portaria n.</w:t>
      </w:r>
      <w:r w:rsidR="00411F3A" w:rsidRPr="000C0568">
        <w:rPr>
          <w:sz w:val="24"/>
          <w:szCs w:val="24"/>
        </w:rPr>
        <w:t xml:space="preserve"> CJF-POR-2017/00369, de 19 de setembro de 2017, que se</w:t>
      </w:r>
      <w:r w:rsidR="00A035AC">
        <w:rPr>
          <w:sz w:val="24"/>
          <w:szCs w:val="24"/>
        </w:rPr>
        <w:t xml:space="preserve"> </w:t>
      </w:r>
      <w:r w:rsidR="00411F3A" w:rsidRPr="000C0568">
        <w:rPr>
          <w:sz w:val="24"/>
          <w:szCs w:val="24"/>
        </w:rPr>
        <w:t>ofici</w:t>
      </w:r>
      <w:r w:rsidR="00A035AC">
        <w:rPr>
          <w:sz w:val="24"/>
          <w:szCs w:val="24"/>
        </w:rPr>
        <w:t>e</w:t>
      </w:r>
      <w:r w:rsidR="00411F3A" w:rsidRPr="000C0568">
        <w:rPr>
          <w:sz w:val="24"/>
          <w:szCs w:val="24"/>
        </w:rPr>
        <w:t xml:space="preserve"> </w:t>
      </w:r>
      <w:r w:rsidR="00A035AC">
        <w:rPr>
          <w:sz w:val="24"/>
          <w:szCs w:val="24"/>
        </w:rPr>
        <w:t>à</w:t>
      </w:r>
      <w:r w:rsidR="00411F3A" w:rsidRPr="000C0568">
        <w:rPr>
          <w:sz w:val="24"/>
          <w:szCs w:val="24"/>
        </w:rPr>
        <w:t xml:space="preserve"> Comissão Gestora de Precedentes do STJ, solicitando especial atenção no monitoramento de t</w:t>
      </w:r>
      <w:r w:rsidR="00306F85" w:rsidRPr="000C0568">
        <w:rPr>
          <w:sz w:val="24"/>
          <w:szCs w:val="24"/>
        </w:rPr>
        <w:t>ais precedentes, identificando eventual necessidade de aprofundamento de estudos quanto aos impactos do precedente nas instâncias de origem, para o que este Centro de Inteligência se coloca à disposição para os</w:t>
      </w:r>
      <w:r w:rsidR="00411F3A" w:rsidRPr="000C0568">
        <w:rPr>
          <w:sz w:val="24"/>
          <w:szCs w:val="24"/>
        </w:rPr>
        <w:t xml:space="preserve"> encaminhamentos pertinentes.</w:t>
      </w:r>
    </w:p>
    <w:p w:rsidR="00411F3A" w:rsidRPr="000C0568" w:rsidRDefault="00411F3A" w:rsidP="00411F3A">
      <w:pPr>
        <w:autoSpaceDE w:val="0"/>
        <w:autoSpaceDN w:val="0"/>
        <w:adjustRightInd w:val="0"/>
        <w:spacing w:after="0" w:line="240" w:lineRule="auto"/>
        <w:ind w:firstLine="709"/>
        <w:jc w:val="both"/>
        <w:rPr>
          <w:sz w:val="24"/>
          <w:szCs w:val="24"/>
        </w:rPr>
      </w:pPr>
    </w:p>
    <w:sectPr w:rsidR="00411F3A" w:rsidRPr="000C0568" w:rsidSect="00AF2141">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1E" w:rsidRDefault="009C471E" w:rsidP="00E3117B">
      <w:pPr>
        <w:spacing w:after="0" w:line="240" w:lineRule="auto"/>
      </w:pPr>
      <w:r>
        <w:separator/>
      </w:r>
    </w:p>
  </w:endnote>
  <w:endnote w:type="continuationSeparator" w:id="0">
    <w:p w:rsidR="009C471E" w:rsidRDefault="009C471E" w:rsidP="00E3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onetPS">
    <w:altName w:val="Courier New"/>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1E" w:rsidRDefault="009C471E" w:rsidP="00E3117B">
      <w:pPr>
        <w:spacing w:after="0" w:line="240" w:lineRule="auto"/>
      </w:pPr>
      <w:r>
        <w:separator/>
      </w:r>
    </w:p>
  </w:footnote>
  <w:footnote w:type="continuationSeparator" w:id="0">
    <w:p w:rsidR="009C471E" w:rsidRDefault="009C471E" w:rsidP="00E3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C7" w:rsidRPr="00BC04A2" w:rsidRDefault="00B945C7" w:rsidP="00B945C7">
    <w:pPr>
      <w:widowControl w:val="0"/>
      <w:tabs>
        <w:tab w:val="center" w:pos="4320"/>
        <w:tab w:val="right" w:pos="8640"/>
      </w:tabs>
      <w:spacing w:after="0" w:line="240" w:lineRule="auto"/>
      <w:jc w:val="center"/>
      <w:rPr>
        <w:rFonts w:ascii="Times New Roman" w:eastAsia="Times New Roman" w:hAnsi="Times New Roman" w:cs="Times New Roman"/>
        <w:szCs w:val="20"/>
        <w:lang w:eastAsia="pt-BR"/>
      </w:rPr>
    </w:pPr>
    <w:r w:rsidRPr="00BC04A2">
      <w:rPr>
        <w:rFonts w:ascii="Times New Roman" w:eastAsia="Times New Roman" w:hAnsi="Times New Roman" w:cs="Times New Roman"/>
        <w:noProof/>
        <w:szCs w:val="20"/>
        <w:lang w:eastAsia="pt-BR"/>
      </w:rPr>
      <w:drawing>
        <wp:inline distT="0" distB="0" distL="0" distR="0" wp14:anchorId="0F632846" wp14:editId="6A0CC6B1">
          <wp:extent cx="693828" cy="59634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543" cy="605558"/>
                  </a:xfrm>
                  <a:prstGeom prst="rect">
                    <a:avLst/>
                  </a:prstGeom>
                </pic:spPr>
              </pic:pic>
            </a:graphicData>
          </a:graphic>
        </wp:inline>
      </w:drawing>
    </w:r>
  </w:p>
  <w:p w:rsidR="00B945C7" w:rsidRPr="00BC04A2" w:rsidRDefault="00B945C7" w:rsidP="00B945C7">
    <w:pPr>
      <w:widowControl w:val="0"/>
      <w:tabs>
        <w:tab w:val="center" w:pos="4320"/>
        <w:tab w:val="right" w:pos="8640"/>
      </w:tabs>
      <w:spacing w:after="0" w:line="240" w:lineRule="auto"/>
      <w:jc w:val="center"/>
      <w:rPr>
        <w:rFonts w:ascii="CoronetPS" w:eastAsia="Times New Roman" w:hAnsi="CoronetPS" w:cs="Times New Roman"/>
        <w:sz w:val="32"/>
        <w:szCs w:val="32"/>
        <w:lang w:eastAsia="pt-BR"/>
      </w:rPr>
    </w:pPr>
    <w:r w:rsidRPr="00BC04A2">
      <w:rPr>
        <w:rFonts w:ascii="CoronetPS" w:eastAsia="Times New Roman" w:hAnsi="CoronetPS" w:cs="Times New Roman"/>
        <w:sz w:val="32"/>
        <w:szCs w:val="32"/>
        <w:lang w:eastAsia="pt-BR"/>
      </w:rPr>
      <w:t>Centro Nacional de Inteligência – Justiça Federal</w:t>
    </w:r>
  </w:p>
  <w:p w:rsidR="00B945C7" w:rsidRDefault="00B945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322D"/>
    <w:multiLevelType w:val="hybridMultilevel"/>
    <w:tmpl w:val="3C8E73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6FCF34F6"/>
    <w:multiLevelType w:val="hybridMultilevel"/>
    <w:tmpl w:val="8070AB08"/>
    <w:lvl w:ilvl="0" w:tplc="6AC464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0A"/>
    <w:rsid w:val="00061801"/>
    <w:rsid w:val="00080A51"/>
    <w:rsid w:val="000C0568"/>
    <w:rsid w:val="00136D89"/>
    <w:rsid w:val="0016620A"/>
    <w:rsid w:val="0019637B"/>
    <w:rsid w:val="001B3210"/>
    <w:rsid w:val="001F6882"/>
    <w:rsid w:val="002130DA"/>
    <w:rsid w:val="00242786"/>
    <w:rsid w:val="002B1EC3"/>
    <w:rsid w:val="002B47A6"/>
    <w:rsid w:val="002B734C"/>
    <w:rsid w:val="002F15A8"/>
    <w:rsid w:val="002F5E2D"/>
    <w:rsid w:val="0030557F"/>
    <w:rsid w:val="00306F85"/>
    <w:rsid w:val="00370DAC"/>
    <w:rsid w:val="00381214"/>
    <w:rsid w:val="003954C2"/>
    <w:rsid w:val="00411F3A"/>
    <w:rsid w:val="004705F6"/>
    <w:rsid w:val="0048041E"/>
    <w:rsid w:val="00480E83"/>
    <w:rsid w:val="00482168"/>
    <w:rsid w:val="0049445F"/>
    <w:rsid w:val="004A7A9D"/>
    <w:rsid w:val="00533432"/>
    <w:rsid w:val="00544B0D"/>
    <w:rsid w:val="00577CAB"/>
    <w:rsid w:val="00597150"/>
    <w:rsid w:val="005F3A36"/>
    <w:rsid w:val="0067247D"/>
    <w:rsid w:val="006D2AB0"/>
    <w:rsid w:val="006D3A37"/>
    <w:rsid w:val="00765A23"/>
    <w:rsid w:val="007C1F58"/>
    <w:rsid w:val="007D0D80"/>
    <w:rsid w:val="00844620"/>
    <w:rsid w:val="008E7289"/>
    <w:rsid w:val="009712A1"/>
    <w:rsid w:val="00987656"/>
    <w:rsid w:val="00994D5A"/>
    <w:rsid w:val="009C166B"/>
    <w:rsid w:val="009C1683"/>
    <w:rsid w:val="009C471E"/>
    <w:rsid w:val="009D0DFC"/>
    <w:rsid w:val="009F2DBE"/>
    <w:rsid w:val="00A035AC"/>
    <w:rsid w:val="00A1530E"/>
    <w:rsid w:val="00AF0C3A"/>
    <w:rsid w:val="00B54A8B"/>
    <w:rsid w:val="00B7302A"/>
    <w:rsid w:val="00B77DF2"/>
    <w:rsid w:val="00B80758"/>
    <w:rsid w:val="00B8135F"/>
    <w:rsid w:val="00B945C7"/>
    <w:rsid w:val="00BA2CEC"/>
    <w:rsid w:val="00BA75D2"/>
    <w:rsid w:val="00BC40BD"/>
    <w:rsid w:val="00BE2E96"/>
    <w:rsid w:val="00C71C24"/>
    <w:rsid w:val="00CB0F41"/>
    <w:rsid w:val="00CF0329"/>
    <w:rsid w:val="00CF0EA9"/>
    <w:rsid w:val="00D572F4"/>
    <w:rsid w:val="00DD74C6"/>
    <w:rsid w:val="00DE56D2"/>
    <w:rsid w:val="00E24902"/>
    <w:rsid w:val="00E3117B"/>
    <w:rsid w:val="00E80596"/>
    <w:rsid w:val="00EE6AD6"/>
    <w:rsid w:val="00F94B28"/>
    <w:rsid w:val="00FE4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9F8"/>
  <w15:chartTrackingRefBased/>
  <w15:docId w15:val="{5E35A790-0025-4C1C-8B7E-8B17096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F41"/>
    <w:pPr>
      <w:ind w:left="720"/>
      <w:contextualSpacing/>
    </w:pPr>
  </w:style>
  <w:style w:type="character" w:styleId="nfaseSutil">
    <w:name w:val="Subtle Emphasis"/>
    <w:basedOn w:val="Fontepargpadro"/>
    <w:uiPriority w:val="19"/>
    <w:qFormat/>
    <w:rsid w:val="00A1530E"/>
    <w:rPr>
      <w:i/>
      <w:iCs/>
      <w:color w:val="404040" w:themeColor="text1" w:themeTint="BF"/>
    </w:rPr>
  </w:style>
  <w:style w:type="paragraph" w:styleId="Textodenotaderodap">
    <w:name w:val="footnote text"/>
    <w:basedOn w:val="Normal"/>
    <w:link w:val="TextodenotaderodapChar"/>
    <w:uiPriority w:val="99"/>
    <w:semiHidden/>
    <w:unhideWhenUsed/>
    <w:rsid w:val="00E3117B"/>
    <w:pPr>
      <w:spacing w:after="0" w:line="240" w:lineRule="auto"/>
    </w:pPr>
    <w:rPr>
      <w:rFonts w:ascii="Calibri" w:eastAsia="Times New Roman" w:hAnsi="Calibri" w:cs="Times New Roman"/>
      <w:szCs w:val="20"/>
    </w:rPr>
  </w:style>
  <w:style w:type="character" w:customStyle="1" w:styleId="TextodenotaderodapChar">
    <w:name w:val="Texto de nota de rodapé Char"/>
    <w:basedOn w:val="Fontepargpadro"/>
    <w:link w:val="Textodenotaderodap"/>
    <w:uiPriority w:val="99"/>
    <w:semiHidden/>
    <w:rsid w:val="00E3117B"/>
    <w:rPr>
      <w:rFonts w:ascii="Calibri" w:eastAsia="Times New Roman" w:hAnsi="Calibri" w:cs="Times New Roman"/>
      <w:szCs w:val="20"/>
    </w:rPr>
  </w:style>
  <w:style w:type="character" w:styleId="Refdenotaderodap">
    <w:name w:val="footnote reference"/>
    <w:basedOn w:val="Fontepargpadro"/>
    <w:uiPriority w:val="99"/>
    <w:semiHidden/>
    <w:unhideWhenUsed/>
    <w:rsid w:val="00E3117B"/>
    <w:rPr>
      <w:rFonts w:cs="Times New Roman"/>
      <w:vertAlign w:val="superscript"/>
    </w:rPr>
  </w:style>
  <w:style w:type="paragraph" w:styleId="Cabealho">
    <w:name w:val="header"/>
    <w:basedOn w:val="Normal"/>
    <w:link w:val="CabealhoChar"/>
    <w:uiPriority w:val="99"/>
    <w:unhideWhenUsed/>
    <w:rsid w:val="00480E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E83"/>
  </w:style>
  <w:style w:type="paragraph" w:styleId="Rodap">
    <w:name w:val="footer"/>
    <w:basedOn w:val="Normal"/>
    <w:link w:val="RodapChar"/>
    <w:uiPriority w:val="99"/>
    <w:unhideWhenUsed/>
    <w:rsid w:val="00480E83"/>
    <w:pPr>
      <w:tabs>
        <w:tab w:val="center" w:pos="4252"/>
        <w:tab w:val="right" w:pos="8504"/>
      </w:tabs>
      <w:spacing w:after="0" w:line="240" w:lineRule="auto"/>
    </w:pPr>
  </w:style>
  <w:style w:type="character" w:customStyle="1" w:styleId="RodapChar">
    <w:name w:val="Rodapé Char"/>
    <w:basedOn w:val="Fontepargpadro"/>
    <w:link w:val="Rodap"/>
    <w:uiPriority w:val="99"/>
    <w:rsid w:val="0048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4880</Words>
  <Characters>26358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Seção Judiciária do Rio de Janeiro</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Maria Nunes de Barros</dc:creator>
  <cp:keywords/>
  <dc:description/>
  <cp:lastModifiedBy>Rita Helena dos Anjos</cp:lastModifiedBy>
  <cp:revision>3</cp:revision>
  <dcterms:created xsi:type="dcterms:W3CDTF">2018-08-13T15:05:00Z</dcterms:created>
  <dcterms:modified xsi:type="dcterms:W3CDTF">2018-08-14T19:44:00Z</dcterms:modified>
</cp:coreProperties>
</file>