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708B" w14:textId="77777777" w:rsidR="006D20BE" w:rsidRDefault="0076671A">
      <w:pPr>
        <w:spacing w:after="0"/>
        <w:ind w:left="748"/>
        <w:jc w:val="center"/>
      </w:pPr>
      <w:r>
        <w:rPr>
          <w:noProof/>
        </w:rPr>
        <w:drawing>
          <wp:inline distT="0" distB="0" distL="0" distR="0" wp14:anchorId="5ABCCF77" wp14:editId="186FE9DD">
            <wp:extent cx="1700687" cy="97472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741" cy="9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09356D" w14:textId="77777777" w:rsidR="006D20BE" w:rsidRDefault="0076671A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</w:rPr>
        <w:t xml:space="preserve">SECRETARIA DE AUDITORIA INTERNA </w:t>
      </w:r>
    </w:p>
    <w:p w14:paraId="03536188" w14:textId="77777777" w:rsidR="006D20BE" w:rsidRDefault="0076671A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COMITÊ TÉCNICO DE </w:t>
      </w:r>
      <w:r w:rsidR="00A141A0">
        <w:rPr>
          <w:rFonts w:ascii="Times New Roman" w:eastAsia="Times New Roman" w:hAnsi="Times New Roman" w:cs="Times New Roman"/>
          <w:b/>
        </w:rPr>
        <w:t>AUDITORIA</w:t>
      </w:r>
      <w:r>
        <w:rPr>
          <w:rFonts w:ascii="Times New Roman" w:eastAsia="Times New Roman" w:hAnsi="Times New Roman" w:cs="Times New Roman"/>
          <w:b/>
        </w:rPr>
        <w:t xml:space="preserve"> INTERN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DA JUSTIÇA FEDERAL –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30D14419" w14:textId="77777777" w:rsidR="006D20BE" w:rsidRDefault="0076671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2E3492" w14:textId="29BD3EFB" w:rsidR="006D20BE" w:rsidRDefault="0076671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ATA DA </w:t>
      </w:r>
      <w:r w:rsidR="00E14B35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 xml:space="preserve">ª REUNIÃO </w:t>
      </w:r>
      <w:r w:rsidR="00A141A0">
        <w:rPr>
          <w:rFonts w:ascii="Times New Roman" w:eastAsia="Times New Roman" w:hAnsi="Times New Roman" w:cs="Times New Roman"/>
          <w:b/>
        </w:rPr>
        <w:t xml:space="preserve">ORDINÁRIA </w:t>
      </w:r>
      <w:r>
        <w:rPr>
          <w:rFonts w:ascii="Times New Roman" w:eastAsia="Times New Roman" w:hAnsi="Times New Roman" w:cs="Times New Roman"/>
          <w:b/>
        </w:rPr>
        <w:t>DO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72A3AC70" w14:textId="6B8E2326" w:rsidR="006D20BE" w:rsidRDefault="0076671A">
      <w:pPr>
        <w:tabs>
          <w:tab w:val="center" w:pos="195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DATA 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 w:rsidR="00E14B35">
        <w:rPr>
          <w:rFonts w:ascii="Times New Roman" w:eastAsia="Times New Roman" w:hAnsi="Times New Roman" w:cs="Times New Roman"/>
          <w:b/>
        </w:rPr>
        <w:t>21</w:t>
      </w:r>
      <w:r w:rsidR="00930415">
        <w:rPr>
          <w:rFonts w:ascii="Times New Roman" w:eastAsia="Times New Roman" w:hAnsi="Times New Roman" w:cs="Times New Roman"/>
          <w:b/>
        </w:rPr>
        <w:t>/</w:t>
      </w:r>
      <w:r w:rsidR="009B0E16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/202</w:t>
      </w:r>
      <w:r w:rsidR="00A141A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1B3801" w14:textId="77777777" w:rsidR="006D20BE" w:rsidRDefault="0076671A">
      <w:pPr>
        <w:tabs>
          <w:tab w:val="center" w:pos="271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LOCAL </w:t>
      </w:r>
      <w:r>
        <w:rPr>
          <w:rFonts w:ascii="Times New Roman" w:eastAsia="Times New Roman" w:hAnsi="Times New Roman" w:cs="Times New Roman"/>
          <w:b/>
        </w:rPr>
        <w:tab/>
        <w:t xml:space="preserve">: PLATAFORMA TEAMS </w:t>
      </w:r>
    </w:p>
    <w:p w14:paraId="0B4046D3" w14:textId="0C632A22" w:rsidR="006D20BE" w:rsidRDefault="0076671A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HORÁRIO </w:t>
      </w:r>
      <w:r>
        <w:rPr>
          <w:rFonts w:ascii="Times New Roman" w:eastAsia="Times New Roman" w:hAnsi="Times New Roman" w:cs="Times New Roman"/>
          <w:b/>
        </w:rPr>
        <w:tab/>
        <w:t>: 1</w:t>
      </w:r>
      <w:r w:rsidR="00E14B35">
        <w:rPr>
          <w:rFonts w:ascii="Times New Roman" w:eastAsia="Times New Roman" w:hAnsi="Times New Roman" w:cs="Times New Roman"/>
          <w:b/>
        </w:rPr>
        <w:t>5</w:t>
      </w:r>
      <w:r w:rsidR="00701F68"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  <w:b/>
        </w:rPr>
        <w:t xml:space="preserve"> às 1</w:t>
      </w:r>
      <w:r w:rsidR="00D2474C">
        <w:rPr>
          <w:rFonts w:ascii="Times New Roman" w:eastAsia="Times New Roman" w:hAnsi="Times New Roman" w:cs="Times New Roman"/>
          <w:b/>
        </w:rPr>
        <w:t>8h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54007D" w14:textId="58A3A6B5" w:rsidR="00EA14B2" w:rsidRDefault="00EA14B2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0587A95C" w14:textId="77777777" w:rsidR="00EA14B2" w:rsidRPr="00107F71" w:rsidRDefault="00EA14B2" w:rsidP="00EA14B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b/>
          <w:color w:val="auto"/>
          <w:sz w:val="24"/>
          <w:szCs w:val="24"/>
        </w:rPr>
        <w:t>PARTICIPANTES:</w:t>
      </w:r>
    </w:p>
    <w:p w14:paraId="4078F1DC" w14:textId="77777777" w:rsidR="00EA14B2" w:rsidRPr="00107F71" w:rsidRDefault="00EA14B2" w:rsidP="00EA14B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7AE34AAD" w14:textId="77777777" w:rsidR="00EA14B2" w:rsidRPr="00107F71" w:rsidRDefault="00EA14B2" w:rsidP="00EA14B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b/>
          <w:color w:val="auto"/>
          <w:sz w:val="24"/>
          <w:szCs w:val="24"/>
        </w:rPr>
        <w:t>Eva Maria Ferreira Barros</w:t>
      </w:r>
    </w:p>
    <w:p w14:paraId="7CB4D32B" w14:textId="77777777" w:rsidR="00EA14B2" w:rsidRPr="00107F71" w:rsidRDefault="00EA14B2" w:rsidP="00EA14B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Secretária de Auditoria Interna</w:t>
      </w:r>
    </w:p>
    <w:p w14:paraId="4016106F" w14:textId="77777777" w:rsidR="00EA14B2" w:rsidRPr="00107F71" w:rsidRDefault="00EA14B2" w:rsidP="00EA14B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Conselho da Justiça Federal</w:t>
      </w:r>
    </w:p>
    <w:p w14:paraId="298136E3" w14:textId="77777777" w:rsidR="00EA14B2" w:rsidRPr="00107F71" w:rsidRDefault="00EA14B2" w:rsidP="00EA14B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Presidente do CTAI</w:t>
      </w:r>
    </w:p>
    <w:p w14:paraId="5D235DA8" w14:textId="77777777" w:rsidR="00EA14B2" w:rsidRPr="00107F71" w:rsidRDefault="00EA14B2" w:rsidP="00EA14B2">
      <w:pPr>
        <w:spacing w:after="0"/>
        <w:rPr>
          <w:color w:val="auto"/>
        </w:rPr>
      </w:pPr>
    </w:p>
    <w:p w14:paraId="30CCE2E7" w14:textId="77777777" w:rsidR="00EA14B2" w:rsidRPr="00107F71" w:rsidRDefault="00EA14B2" w:rsidP="00EA14B2">
      <w:pPr>
        <w:pStyle w:val="Ttulo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Marcos Dias Oliveira</w:t>
      </w:r>
    </w:p>
    <w:p w14:paraId="3F298ED6" w14:textId="77777777" w:rsidR="00EA14B2" w:rsidRPr="00107F71" w:rsidRDefault="00EA14B2" w:rsidP="00EA14B2">
      <w:pPr>
        <w:pStyle w:val="Ttulo3"/>
        <w:rPr>
          <w:rFonts w:ascii="Times New Roman" w:hAnsi="Times New Roman"/>
          <w:b/>
          <w:bCs/>
          <w:szCs w:val="24"/>
        </w:rPr>
      </w:pPr>
      <w:r w:rsidRPr="00107F71">
        <w:rPr>
          <w:rFonts w:ascii="Times New Roman" w:hAnsi="Times New Roman"/>
          <w:szCs w:val="24"/>
        </w:rPr>
        <w:t>Diretor da Secretaria de Auditoria Interna</w:t>
      </w:r>
      <w:r>
        <w:rPr>
          <w:rFonts w:ascii="Times New Roman" w:hAnsi="Times New Roman"/>
          <w:szCs w:val="24"/>
        </w:rPr>
        <w:t>, em exercício</w:t>
      </w:r>
    </w:p>
    <w:p w14:paraId="38597631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1ª Região</w:t>
      </w:r>
    </w:p>
    <w:p w14:paraId="5B181675" w14:textId="77777777" w:rsidR="00EA14B2" w:rsidRPr="00107F71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6226C7B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31A88CB1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/>
          <w:b/>
          <w:color w:val="auto"/>
          <w:sz w:val="24"/>
          <w:szCs w:val="24"/>
        </w:rPr>
        <w:t>Raphael Junger</w:t>
      </w:r>
    </w:p>
    <w:p w14:paraId="2A2A2C42" w14:textId="77777777" w:rsidR="00EA14B2" w:rsidRPr="00107F71" w:rsidRDefault="00EA14B2" w:rsidP="00EA14B2">
      <w:pPr>
        <w:spacing w:after="0" w:line="240" w:lineRule="auto"/>
        <w:outlineLvl w:val="4"/>
        <w:rPr>
          <w:rFonts w:ascii="Times New Roman" w:hAnsi="Times New Roman"/>
          <w:bCs/>
          <w:color w:val="auto"/>
          <w:sz w:val="24"/>
          <w:szCs w:val="24"/>
        </w:rPr>
      </w:pPr>
      <w:r w:rsidRPr="00107F71">
        <w:rPr>
          <w:rFonts w:ascii="Times New Roman" w:hAnsi="Times New Roman"/>
          <w:bCs/>
          <w:color w:val="auto"/>
          <w:sz w:val="24"/>
          <w:szCs w:val="24"/>
        </w:rPr>
        <w:t xml:space="preserve">Diretor da Secretaria de Auditoria Interna </w:t>
      </w:r>
    </w:p>
    <w:p w14:paraId="2EF09E2B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2ª Região</w:t>
      </w:r>
    </w:p>
    <w:p w14:paraId="5FF0A851" w14:textId="77777777" w:rsidR="00EA14B2" w:rsidRPr="00107F71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2E761D51" w14:textId="77777777" w:rsidR="00EA14B2" w:rsidRPr="00107F71" w:rsidRDefault="00EA14B2" w:rsidP="00EA14B2">
      <w:pPr>
        <w:pStyle w:val="Ttulo2"/>
        <w:textAlignment w:val="baseline"/>
        <w:rPr>
          <w:rFonts w:ascii="Times New Roman" w:hAnsi="Times New Roman"/>
          <w:bCs/>
          <w:szCs w:val="24"/>
        </w:rPr>
      </w:pPr>
    </w:p>
    <w:p w14:paraId="044F89DE" w14:textId="77777777" w:rsidR="00EA14B2" w:rsidRPr="00107F71" w:rsidRDefault="00EA14B2" w:rsidP="00EA14B2">
      <w:pPr>
        <w:pStyle w:val="Ttulo3"/>
        <w:rPr>
          <w:rFonts w:ascii="Times New Roman" w:hAnsi="Times New Roman"/>
          <w:b/>
          <w:szCs w:val="24"/>
        </w:rPr>
      </w:pPr>
      <w:r w:rsidRPr="00107F71">
        <w:rPr>
          <w:rFonts w:ascii="Times New Roman" w:hAnsi="Times New Roman"/>
          <w:b/>
          <w:szCs w:val="24"/>
        </w:rPr>
        <w:t xml:space="preserve">Patrícia Ribeiro </w:t>
      </w:r>
    </w:p>
    <w:p w14:paraId="7A68AA2A" w14:textId="77777777" w:rsidR="00EA14B2" w:rsidRPr="00107F71" w:rsidRDefault="00EA14B2" w:rsidP="00EA14B2">
      <w:pPr>
        <w:spacing w:after="0" w:line="240" w:lineRule="auto"/>
        <w:rPr>
          <w:rStyle w:val="fontenegrito"/>
          <w:rFonts w:ascii="Times New Roman" w:hAnsi="Times New Roman"/>
          <w:color w:val="auto"/>
          <w:szCs w:val="24"/>
        </w:rPr>
      </w:pPr>
      <w:r w:rsidRPr="00107F71">
        <w:rPr>
          <w:rStyle w:val="fontenegrito"/>
          <w:rFonts w:ascii="Times New Roman" w:hAnsi="Times New Roman"/>
          <w:color w:val="auto"/>
          <w:szCs w:val="24"/>
        </w:rPr>
        <w:t xml:space="preserve">Diretora da Secretaria de Auditoria Interna </w:t>
      </w:r>
    </w:p>
    <w:p w14:paraId="1C550705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3ª Região</w:t>
      </w:r>
    </w:p>
    <w:p w14:paraId="04FB04BD" w14:textId="77777777" w:rsidR="00EA14B2" w:rsidRPr="00107F71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2CF189CC" w14:textId="77777777" w:rsidR="00EA14B2" w:rsidRPr="00107F71" w:rsidRDefault="00EA14B2" w:rsidP="00EA14B2">
      <w:pPr>
        <w:pStyle w:val="Ttulo3"/>
        <w:rPr>
          <w:rStyle w:val="fontesite"/>
          <w:rFonts w:ascii="Times New Roman" w:hAnsi="Times New Roman"/>
          <w:szCs w:val="24"/>
        </w:rPr>
      </w:pPr>
    </w:p>
    <w:p w14:paraId="4940275B" w14:textId="77777777" w:rsidR="00EA14B2" w:rsidRPr="00F970F7" w:rsidRDefault="00EA14B2" w:rsidP="00EA14B2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F970F7">
        <w:rPr>
          <w:rStyle w:val="fontesite"/>
          <w:rFonts w:ascii="Times New Roman" w:hAnsi="Times New Roman"/>
          <w:b/>
          <w:szCs w:val="24"/>
        </w:rPr>
        <w:t>Wolfgang Striebel</w:t>
      </w:r>
    </w:p>
    <w:p w14:paraId="3D32BC81" w14:textId="77777777" w:rsidR="00EA14B2" w:rsidRPr="00107F71" w:rsidRDefault="00EA14B2" w:rsidP="00EA14B2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da Secretaria de Auditoria Interna </w:t>
      </w:r>
    </w:p>
    <w:p w14:paraId="5E7670A9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4ª Região</w:t>
      </w:r>
    </w:p>
    <w:p w14:paraId="00CCEE65" w14:textId="77777777" w:rsidR="00EA14B2" w:rsidRPr="00107F71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50E25ADA" w14:textId="77777777" w:rsidR="00EA14B2" w:rsidRPr="00107F71" w:rsidRDefault="00EA14B2" w:rsidP="00EA14B2">
      <w:pPr>
        <w:pStyle w:val="Ttulo3"/>
        <w:rPr>
          <w:rFonts w:ascii="Times New Roman" w:hAnsi="Times New Roman"/>
          <w:szCs w:val="24"/>
        </w:rPr>
      </w:pPr>
    </w:p>
    <w:p w14:paraId="16C445F3" w14:textId="77777777" w:rsidR="00EA14B2" w:rsidRPr="00107F71" w:rsidRDefault="00EA14B2" w:rsidP="00EA14B2">
      <w:pPr>
        <w:pStyle w:val="Ttulo3"/>
        <w:rPr>
          <w:rFonts w:ascii="Times New Roman" w:hAnsi="Times New Roman"/>
          <w:szCs w:val="24"/>
        </w:rPr>
      </w:pPr>
      <w:r w:rsidRPr="00107F71">
        <w:rPr>
          <w:rFonts w:ascii="Times New Roman" w:hAnsi="Times New Roman"/>
          <w:b/>
          <w:szCs w:val="24"/>
        </w:rPr>
        <w:t>Sídia Maria Porto Lima</w:t>
      </w:r>
    </w:p>
    <w:p w14:paraId="02BC37AC" w14:textId="77777777" w:rsidR="00EA14B2" w:rsidRPr="00107F71" w:rsidRDefault="00EA14B2" w:rsidP="00EA14B2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Diretora da Subsecretaria de Auditoria Interna</w:t>
      </w:r>
    </w:p>
    <w:p w14:paraId="09B08466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5ª Região</w:t>
      </w:r>
    </w:p>
    <w:p w14:paraId="53D3F866" w14:textId="77777777" w:rsidR="00EA14B2" w:rsidRPr="00107F71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05ED4C7F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B9C5A75" w14:textId="77777777" w:rsidR="00EA14B2" w:rsidRPr="00033E7E" w:rsidRDefault="00EA14B2" w:rsidP="00EA14B2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>Zacarias Vitorino de Oliveira Filho</w:t>
      </w:r>
    </w:p>
    <w:p w14:paraId="38472ECB" w14:textId="77777777" w:rsidR="00EA14B2" w:rsidRPr="00107F71" w:rsidRDefault="00EA14B2" w:rsidP="00EA14B2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do Núcleo de Auditoria Interna </w:t>
      </w:r>
    </w:p>
    <w:p w14:paraId="1DDAF7FE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da Bahia</w:t>
      </w:r>
    </w:p>
    <w:p w14:paraId="7468815E" w14:textId="77777777" w:rsidR="00EA14B2" w:rsidRPr="00107F71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837F8E5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46544BDF" w14:textId="21B7E726" w:rsidR="00EA14B2" w:rsidRPr="00033E7E" w:rsidRDefault="00C163F6" w:rsidP="00EA14B2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>Rosana Tinoco</w:t>
      </w:r>
    </w:p>
    <w:p w14:paraId="2AEF8C52" w14:textId="4EE08AB3" w:rsidR="00EA14B2" w:rsidRPr="00107F71" w:rsidRDefault="00EA14B2" w:rsidP="00EA14B2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 xml:space="preserve">Diretora da </w:t>
      </w:r>
      <w:r w:rsidRPr="00107F71">
        <w:rPr>
          <w:rStyle w:val="fontesite"/>
          <w:rFonts w:ascii="Times New Roman" w:hAnsi="Times New Roman"/>
          <w:szCs w:val="24"/>
        </w:rPr>
        <w:t>Subsecret</w:t>
      </w:r>
      <w:r>
        <w:rPr>
          <w:rStyle w:val="fontesite"/>
          <w:rFonts w:ascii="Times New Roman" w:hAnsi="Times New Roman"/>
          <w:szCs w:val="24"/>
        </w:rPr>
        <w:t>a</w:t>
      </w:r>
      <w:r w:rsidRPr="00107F71">
        <w:rPr>
          <w:rStyle w:val="fontesite"/>
          <w:rFonts w:ascii="Times New Roman" w:hAnsi="Times New Roman"/>
          <w:szCs w:val="24"/>
        </w:rPr>
        <w:t>ri</w:t>
      </w:r>
      <w:r>
        <w:rPr>
          <w:rStyle w:val="fontesite"/>
          <w:rFonts w:ascii="Times New Roman" w:hAnsi="Times New Roman"/>
          <w:szCs w:val="24"/>
        </w:rPr>
        <w:t>a</w:t>
      </w:r>
      <w:r w:rsidRPr="00107F71">
        <w:rPr>
          <w:rStyle w:val="fontesite"/>
          <w:rFonts w:ascii="Times New Roman" w:hAnsi="Times New Roman"/>
          <w:szCs w:val="24"/>
        </w:rPr>
        <w:t xml:space="preserve"> de </w:t>
      </w:r>
      <w:r>
        <w:rPr>
          <w:rStyle w:val="fontesite"/>
          <w:rFonts w:ascii="Times New Roman" w:hAnsi="Times New Roman"/>
          <w:szCs w:val="24"/>
        </w:rPr>
        <w:t>Auditoria Interna</w:t>
      </w:r>
    </w:p>
    <w:p w14:paraId="42E6E541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do Rio de Janeiro</w:t>
      </w:r>
    </w:p>
    <w:p w14:paraId="2EF5C2AF" w14:textId="272B6749" w:rsidR="00EA14B2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lastRenderedPageBreak/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3C0B6F96" w14:textId="77777777" w:rsidR="00C163F6" w:rsidRDefault="00C163F6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12ABA5F" w14:textId="77777777" w:rsidR="00EA14B2" w:rsidRPr="00033E7E" w:rsidRDefault="00EA14B2" w:rsidP="00EA14B2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>Rita de Cássia Sapia Alves da Cruz</w:t>
      </w:r>
    </w:p>
    <w:p w14:paraId="6F3CA640" w14:textId="77777777" w:rsidR="00EA14B2" w:rsidRPr="00107F71" w:rsidRDefault="00EA14B2" w:rsidP="00EA14B2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Diretora do Núcleo de Auditoria Interna</w:t>
      </w:r>
    </w:p>
    <w:p w14:paraId="04C2D9FE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de São Paulo</w:t>
      </w:r>
    </w:p>
    <w:p w14:paraId="423198C0" w14:textId="77777777" w:rsidR="00EA14B2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03BDCF6D" w14:textId="77777777" w:rsidR="00EA14B2" w:rsidRPr="00107F71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CB3BA0" w14:textId="77777777" w:rsidR="00EA14B2" w:rsidRPr="00033E7E" w:rsidRDefault="00EA14B2" w:rsidP="00EA14B2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>Carlos Augusto Legendre Lima</w:t>
      </w:r>
    </w:p>
    <w:p w14:paraId="46BB375A" w14:textId="77777777" w:rsidR="00EA14B2" w:rsidRPr="00107F71" w:rsidRDefault="00EA14B2" w:rsidP="00EA14B2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do Núcleo de Auditoria Interna </w:t>
      </w:r>
    </w:p>
    <w:p w14:paraId="17474373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do Rio Grande do Sul</w:t>
      </w:r>
    </w:p>
    <w:p w14:paraId="23F35EC2" w14:textId="77777777" w:rsidR="00EA14B2" w:rsidRPr="00107F71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A86F2FF" w14:textId="77777777" w:rsidR="00EA14B2" w:rsidRPr="00107F71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624F528" w14:textId="77777777" w:rsidR="00EA14B2" w:rsidRPr="00033E7E" w:rsidRDefault="00EA14B2" w:rsidP="00EA14B2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>Cesar Oliveira de Barros Leal Filho</w:t>
      </w:r>
    </w:p>
    <w:p w14:paraId="42DDD52D" w14:textId="77777777" w:rsidR="00EA14B2" w:rsidRPr="00107F71" w:rsidRDefault="00EA14B2" w:rsidP="00EA14B2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Supervisor da Seção de Auditoria Interna</w:t>
      </w:r>
    </w:p>
    <w:p w14:paraId="5347EA6D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da Paraíba</w:t>
      </w:r>
    </w:p>
    <w:p w14:paraId="08F93197" w14:textId="134E6552" w:rsidR="00EA14B2" w:rsidRDefault="00EA14B2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191C92A" w14:textId="10DF29F3" w:rsidR="007B1909" w:rsidRDefault="007B1909" w:rsidP="00EA14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3B3BB8" w14:textId="2CCAF3D5" w:rsidR="007B1909" w:rsidRDefault="007B1909" w:rsidP="007B190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978A3" w:rsidRPr="00033E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Maria </w:t>
      </w:r>
      <w:r w:rsidRPr="00033E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Elizabethe </w:t>
      </w:r>
      <w:r w:rsidR="00FC2AC8" w:rsidRPr="00033E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dos Santos Tavares </w:t>
      </w:r>
      <w:r w:rsidRPr="00033E7E">
        <w:rPr>
          <w:rFonts w:ascii="Times New Roman" w:hAnsi="Times New Roman" w:cs="Times New Roman"/>
          <w:b/>
          <w:color w:val="auto"/>
          <w:sz w:val="24"/>
          <w:szCs w:val="24"/>
        </w:rPr>
        <w:t>Fontes</w:t>
      </w:r>
    </w:p>
    <w:p w14:paraId="5B6EF5AE" w14:textId="119CFE9D" w:rsidR="007B1909" w:rsidRPr="00107F71" w:rsidRDefault="007B1909" w:rsidP="007B1909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 xml:space="preserve">Assessora da </w:t>
      </w:r>
      <w:r w:rsidRPr="00107F71">
        <w:rPr>
          <w:rStyle w:val="fontesite"/>
          <w:rFonts w:ascii="Times New Roman" w:hAnsi="Times New Roman"/>
          <w:szCs w:val="24"/>
        </w:rPr>
        <w:t>Subsecret</w:t>
      </w:r>
      <w:r>
        <w:rPr>
          <w:rStyle w:val="fontesite"/>
          <w:rFonts w:ascii="Times New Roman" w:hAnsi="Times New Roman"/>
          <w:szCs w:val="24"/>
        </w:rPr>
        <w:t>a</w:t>
      </w:r>
      <w:r w:rsidRPr="00107F71">
        <w:rPr>
          <w:rStyle w:val="fontesite"/>
          <w:rFonts w:ascii="Times New Roman" w:hAnsi="Times New Roman"/>
          <w:szCs w:val="24"/>
        </w:rPr>
        <w:t>ri</w:t>
      </w:r>
      <w:r>
        <w:rPr>
          <w:rStyle w:val="fontesite"/>
          <w:rFonts w:ascii="Times New Roman" w:hAnsi="Times New Roman"/>
          <w:szCs w:val="24"/>
        </w:rPr>
        <w:t>a</w:t>
      </w:r>
      <w:r w:rsidRPr="00107F71">
        <w:rPr>
          <w:rStyle w:val="fontesite"/>
          <w:rFonts w:ascii="Times New Roman" w:hAnsi="Times New Roman"/>
          <w:szCs w:val="24"/>
        </w:rPr>
        <w:t xml:space="preserve"> de </w:t>
      </w:r>
      <w:r>
        <w:rPr>
          <w:rStyle w:val="fontesite"/>
          <w:rFonts w:ascii="Times New Roman" w:hAnsi="Times New Roman"/>
          <w:szCs w:val="24"/>
        </w:rPr>
        <w:t>Auditoria Interna</w:t>
      </w:r>
    </w:p>
    <w:p w14:paraId="5C591303" w14:textId="4AD40D5F" w:rsidR="007B1909" w:rsidRPr="00107F71" w:rsidRDefault="007B1909" w:rsidP="007B190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do Rio de Janeiro</w:t>
      </w:r>
    </w:p>
    <w:p w14:paraId="5AF02719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4A18E198" w14:textId="77777777" w:rsidR="00EA14B2" w:rsidRPr="00033E7E" w:rsidRDefault="00EA14B2" w:rsidP="00EA14B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Angelita da Mota Ayres Rodrigues</w:t>
      </w:r>
    </w:p>
    <w:p w14:paraId="37935332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Subsecretária de Auditoria de Governança e de Gestão</w:t>
      </w:r>
    </w:p>
    <w:p w14:paraId="29EB69E0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47497F81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69AD5C7D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AC22571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Roberto Junio dos Santos Moreira</w:t>
      </w:r>
    </w:p>
    <w:p w14:paraId="45232775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Subsecretário de Auditoria de Licitações, Contratos e de Pessoal</w:t>
      </w:r>
    </w:p>
    <w:p w14:paraId="70AD9150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4DAC93C9" w14:textId="77777777" w:rsidR="00EA14B2" w:rsidRPr="00107F71" w:rsidRDefault="00EA14B2" w:rsidP="00EA14B2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70AE6B3F" w14:textId="77777777" w:rsidR="00EA14B2" w:rsidRPr="00107F71" w:rsidRDefault="00EA14B2" w:rsidP="00EA14B2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E5538EF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Roberta Bastos Cunha Nunes</w:t>
      </w:r>
    </w:p>
    <w:p w14:paraId="56761C23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Assessora Técnica</w:t>
      </w:r>
    </w:p>
    <w:p w14:paraId="0C22598A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1CD1A90D" w14:textId="77777777" w:rsidR="00EA14B2" w:rsidRDefault="00EA14B2" w:rsidP="00EA14B2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324F07C1" w14:textId="77777777" w:rsidR="00EA14B2" w:rsidRDefault="00EA14B2" w:rsidP="00EA14B2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CE93B27" w14:textId="77777777" w:rsidR="00EA14B2" w:rsidRDefault="00EA14B2" w:rsidP="00EA14B2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Débora Cristina Jardim Vaz</w:t>
      </w:r>
    </w:p>
    <w:p w14:paraId="3A8EF7F2" w14:textId="77777777" w:rsidR="00EA14B2" w:rsidRDefault="00EA14B2" w:rsidP="00EA14B2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Chefe da Seção de Auditoria de Gestão e de Prestação de Contas</w:t>
      </w:r>
    </w:p>
    <w:p w14:paraId="19CAE246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>ria de Auditoria de Governança e de Gestão</w:t>
      </w:r>
    </w:p>
    <w:p w14:paraId="1757455D" w14:textId="77777777" w:rsidR="00EA14B2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0A0CC187" w14:textId="77777777" w:rsidR="00EA14B2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2669091F" w14:textId="77777777" w:rsidR="00EA14B2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Fábio Júnio Dantas</w:t>
      </w:r>
    </w:p>
    <w:p w14:paraId="268FC321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Chefe da Seção de Auditoria de Pessoal</w:t>
      </w:r>
    </w:p>
    <w:p w14:paraId="743D8CCC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>ri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 xml:space="preserve"> de Auditoria de Licitações, Contratos e de Pessoal</w:t>
      </w:r>
    </w:p>
    <w:p w14:paraId="784F56B5" w14:textId="77777777" w:rsidR="00EA14B2" w:rsidRPr="00107F71" w:rsidRDefault="00EA14B2" w:rsidP="00EA14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16BE4D7A" w14:textId="77777777" w:rsidR="00EA14B2" w:rsidRPr="00107F71" w:rsidRDefault="00EA14B2" w:rsidP="00EA14B2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3BE9B291" w14:textId="77777777" w:rsidR="000C6BD9" w:rsidRDefault="000C6BD9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487" w:type="dxa"/>
        <w:tblInd w:w="-427" w:type="dxa"/>
        <w:tblCellMar>
          <w:top w:w="14" w:type="dxa"/>
          <w:left w:w="144" w:type="dxa"/>
          <w:right w:w="26" w:type="dxa"/>
        </w:tblCellMar>
        <w:tblLook w:val="04A0" w:firstRow="1" w:lastRow="0" w:firstColumn="1" w:lastColumn="0" w:noHBand="0" w:noVBand="1"/>
      </w:tblPr>
      <w:tblGrid>
        <w:gridCol w:w="2123"/>
        <w:gridCol w:w="8364"/>
      </w:tblGrid>
      <w:tr w:rsidR="00EA14B2" w14:paraId="135F2AEE" w14:textId="77777777" w:rsidTr="00EA14B2">
        <w:trPr>
          <w:trHeight w:val="34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592" w14:textId="77777777" w:rsidR="00EA14B2" w:rsidRPr="0048269A" w:rsidRDefault="00EA14B2">
            <w:pPr>
              <w:ind w:left="251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TEMA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F8C" w14:textId="77777777" w:rsidR="00EA14B2" w:rsidRPr="0048269A" w:rsidRDefault="00EA14B2">
            <w:pPr>
              <w:ind w:right="336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OBJETIVOS </w:t>
            </w:r>
          </w:p>
        </w:tc>
      </w:tr>
      <w:tr w:rsidR="00EA14B2" w14:paraId="6D93CF23" w14:textId="77777777" w:rsidTr="00EA14B2">
        <w:trPr>
          <w:trHeight w:val="39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2966" w14:textId="77777777" w:rsidR="00EA14B2" w:rsidRPr="0048269A" w:rsidRDefault="00EA14B2">
            <w:pPr>
              <w:ind w:left="298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  <w:u w:val="single" w:color="000000"/>
              </w:rPr>
              <w:t>Abertura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0CA8" w14:textId="692FAA2F" w:rsidR="00EA14B2" w:rsidRPr="00FC2AC8" w:rsidRDefault="00EA14B2" w:rsidP="00033E7E">
            <w:pPr>
              <w:ind w:left="295"/>
              <w:jc w:val="both"/>
              <w:rPr>
                <w:rFonts w:ascii="Times New Roman" w:eastAsia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163F6" w:rsidRPr="00FC2AC8">
              <w:rPr>
                <w:rFonts w:ascii="Times New Roman" w:eastAsia="Times New Roman" w:hAnsi="Times New Roman" w:cs="Times New Roman"/>
              </w:rPr>
              <w:t>A Secretária de Auditoria Interna iniciou a reunião dando as boas vindas às novas representantes da Unidade de Auditoria Interna da Seção Judiciária do Rio de Janeiro.</w:t>
            </w:r>
            <w:r w:rsidR="00B94157">
              <w:rPr>
                <w:rFonts w:ascii="Times New Roman" w:eastAsia="Times New Roman" w:hAnsi="Times New Roman" w:cs="Times New Roman"/>
              </w:rPr>
              <w:t xml:space="preserve"> Em seguida, fez uma breve explanação acerca dos temas a serem tratados na reunião.</w:t>
            </w:r>
          </w:p>
          <w:p w14:paraId="311E2C3C" w14:textId="6EE8B19F" w:rsidR="00C163F6" w:rsidRPr="0048269A" w:rsidRDefault="00C163F6">
            <w:pPr>
              <w:ind w:left="295"/>
              <w:rPr>
                <w:rFonts w:ascii="Times New Roman" w:hAnsi="Times New Roman" w:cs="Times New Roman"/>
              </w:rPr>
            </w:pPr>
          </w:p>
        </w:tc>
      </w:tr>
      <w:tr w:rsidR="00EA14B2" w:rsidRPr="00745C17" w14:paraId="6DECAE5D" w14:textId="77777777" w:rsidTr="00EA14B2">
        <w:trPr>
          <w:trHeight w:val="133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115" w14:textId="612DB2E5" w:rsidR="00EA14B2" w:rsidRPr="00745C17" w:rsidRDefault="00EA14B2" w:rsidP="00FF77C7">
            <w:pPr>
              <w:ind w:righ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lastRenderedPageBreak/>
              <w:t>Tema 1</w:t>
            </w: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 de Auditoria de Longo Prazo – PALP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ACB1" w14:textId="022B9202" w:rsidR="00EA14B2" w:rsidRPr="00E40CDE" w:rsidRDefault="00EA14B2" w:rsidP="00772915">
            <w:pPr>
              <w:spacing w:line="238" w:lineRule="auto"/>
              <w:ind w:left="2" w:right="259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Objetivo: </w:t>
            </w:r>
            <w:r w:rsidRPr="00E40CDE">
              <w:rPr>
                <w:rFonts w:ascii="Times New Roman" w:eastAsia="Times New Roman" w:hAnsi="Times New Roman" w:cs="Times New Roman"/>
                <w:sz w:val="24"/>
                <w:szCs w:val="24"/>
              </w:rPr>
              <w:t>Concluir a uniformização dos temas a serem incluídos no próximo Plano de Auditoria de Longo Prazo – PALP – para o quadriênio 2022-2025.</w:t>
            </w:r>
          </w:p>
          <w:p w14:paraId="62CCE4B0" w14:textId="54704FFF" w:rsidR="00EA14B2" w:rsidRPr="00E40CDE" w:rsidRDefault="00EA14B2" w:rsidP="00772915">
            <w:pPr>
              <w:spacing w:line="238" w:lineRule="auto"/>
              <w:ind w:left="2" w:right="25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4E8B7" w14:textId="77777777" w:rsidR="00EA14B2" w:rsidRPr="00E40CDE" w:rsidRDefault="00EA14B2" w:rsidP="00772915">
            <w:pPr>
              <w:spacing w:line="238" w:lineRule="auto"/>
              <w:ind w:left="2" w:right="25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TEMAS DO PALP 2022-2025 SUGERIDOS PELO CJF</w:t>
            </w:r>
            <w:r w:rsidRPr="00E40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A092D1" w14:textId="77777777" w:rsidR="00EA14B2" w:rsidRPr="00E40CDE" w:rsidRDefault="00EA14B2" w:rsidP="00772915">
            <w:pPr>
              <w:spacing w:line="238" w:lineRule="auto"/>
              <w:ind w:left="2" w:right="25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29B3" w14:textId="77777777" w:rsidR="00EA14B2" w:rsidRPr="00E40CDE" w:rsidRDefault="00EA14B2" w:rsidP="00772915">
            <w:pPr>
              <w:pStyle w:val="dou-paragraph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>Gestão Orçamentária, Financeira, Contábil e Patrimonial</w:t>
            </w:r>
            <w:r w:rsidRPr="00E40CDE">
              <w:t xml:space="preserve"> – objetivo: Avaliar se a gestão orçamentária, financeira e patrimonial do órgão está em conformidade, com as leis e regulamentos aplicáveis e com os princípios de administração pública.</w:t>
            </w:r>
          </w:p>
          <w:p w14:paraId="62F8DF5E" w14:textId="77777777" w:rsidR="00EA14B2" w:rsidRPr="00E40CDE" w:rsidRDefault="00EA14B2" w:rsidP="00772915">
            <w:pPr>
              <w:pStyle w:val="dou-paragraph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>Gestão Documental (englobando a avaliação do cumprimento da LGPD e da LAI)</w:t>
            </w:r>
            <w:r w:rsidRPr="00E40CDE">
              <w:t xml:space="preserve"> – objetivo: Avaliar a aderência do órgão às normas, regulamentos e diretrizes da gestão de processos e documentos institucionais;</w:t>
            </w:r>
          </w:p>
          <w:p w14:paraId="009DF7C9" w14:textId="77777777" w:rsidR="00EA14B2" w:rsidRPr="00E40CDE" w:rsidRDefault="00EA14B2" w:rsidP="00772915">
            <w:pPr>
              <w:pStyle w:val="dou-paragraph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>Governança e Gestão de Pessoas</w:t>
            </w:r>
            <w:r w:rsidRPr="00E40CDE">
              <w:t xml:space="preserve"> – objetivo: Avaliar o grau de maturidade do órgão na aderência aos referenciais de governança, bem como a conformidade, a eficiência e a eficácia dos processos de trabalho atinentes à área de gestão de pessoas, às normas e aos regulamentos aplicáveis, uma vez se tratar do tema de maior materialidade dentro da organização;</w:t>
            </w:r>
          </w:p>
          <w:p w14:paraId="47379D4E" w14:textId="77777777" w:rsidR="00EA14B2" w:rsidRPr="00E40CDE" w:rsidRDefault="00EA14B2" w:rsidP="00772915">
            <w:pPr>
              <w:pStyle w:val="dou-paragraph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>Governança e Gestão da Tecnologia da Informação</w:t>
            </w:r>
            <w:r w:rsidRPr="00E40CDE">
              <w:t xml:space="preserve"> - objetivo: avaliar o grau de maturidade do órgão na aderência aos referenciais de governança, bem como a conformidade, a eficiência e a eficácia dos processos de trabalho atinentes à área de tecnologia da informação, às normas e aos regulamentos aplicáveis;</w:t>
            </w:r>
          </w:p>
          <w:p w14:paraId="3B9A9786" w14:textId="717081EB" w:rsidR="00EA14B2" w:rsidRPr="00E40CDE" w:rsidRDefault="00EA14B2" w:rsidP="00772915">
            <w:pPr>
              <w:pStyle w:val="dou-paragraph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 xml:space="preserve">Governança e Gestão em Sustentabilidade </w:t>
            </w:r>
            <w:r w:rsidRPr="00E40CDE">
              <w:t>- objetivo: Avaliar a aderência do órgão à Política de Sustentabilidade, bem como a elaboração, revisão e o cumprimento do Plano de Logística Sustentável – PLS, instrumento que deverá envolver as dimensões ambiental, social e econômica.</w:t>
            </w:r>
          </w:p>
          <w:p w14:paraId="18F8D742" w14:textId="77777777" w:rsidR="00EA14B2" w:rsidRPr="00E40CDE" w:rsidRDefault="00EA14B2" w:rsidP="00772915">
            <w:pPr>
              <w:pStyle w:val="dou-paragraph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 w:line="238" w:lineRule="auto"/>
              <w:ind w:left="703" w:right="259" w:hanging="283"/>
              <w:jc w:val="both"/>
            </w:pPr>
            <w:bookmarkStart w:id="0" w:name="_Hlk85806767"/>
            <w:r w:rsidRPr="00E40CDE">
              <w:rPr>
                <w:b/>
              </w:rPr>
              <w:t>Governança e Gestão Estratégica (englobando avaliação de resultados)</w:t>
            </w:r>
            <w:r w:rsidRPr="00E40CDE">
              <w:t xml:space="preserve"> - objetivo: Avaliar a estrutura de Governança Institucional, o cumprimento do Planejamento Estratégico Institucional, </w:t>
            </w:r>
            <w:bookmarkStart w:id="1" w:name="_Hlk85806827"/>
            <w:r w:rsidRPr="00E40CDE">
              <w:t xml:space="preserve">bem como </w:t>
            </w:r>
            <w:bookmarkEnd w:id="1"/>
            <w:r w:rsidRPr="00E40CDE">
              <w:t xml:space="preserve">a implementação, o grau de maturidade e a gestão dos riscos dos processos de trabalho e controles internos administrativos do órgão. </w:t>
            </w:r>
          </w:p>
          <w:bookmarkEnd w:id="0"/>
          <w:p w14:paraId="73B9C845" w14:textId="39D77038" w:rsidR="00EA14B2" w:rsidRPr="00E40CDE" w:rsidRDefault="00EA14B2" w:rsidP="00772915">
            <w:pPr>
              <w:pStyle w:val="dou-paragraph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 w:line="238" w:lineRule="auto"/>
              <w:ind w:left="703" w:right="259" w:hanging="283"/>
              <w:jc w:val="both"/>
            </w:pPr>
            <w:r w:rsidRPr="00E40CDE">
              <w:rPr>
                <w:b/>
              </w:rPr>
              <w:t>Governança e Gestão das Contratações - objetivo</w:t>
            </w:r>
            <w:r w:rsidRPr="00E40CDE">
              <w:t>: Avaliar a implementação dos instrumentos de Governança das Contratações, previstos nos normativos vigentes, bem como a transição para os procedimentos do novo regime jurídico das contratações públicas estabelecido pela Lei n. 14.133/2021.</w:t>
            </w:r>
          </w:p>
          <w:p w14:paraId="72CFB151" w14:textId="77777777" w:rsidR="00EA14B2" w:rsidRPr="00E40CDE" w:rsidRDefault="00B94157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E40CDE">
              <w:t>A Secretária de Auditoria Interna do CJF discorreu resumidamente sobre os temas acima citados.</w:t>
            </w:r>
          </w:p>
          <w:p w14:paraId="46CFD79C" w14:textId="765C4D96" w:rsidR="00B94157" w:rsidRPr="00E40CDE" w:rsidRDefault="00B94157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E40CDE">
              <w:t>O representante do TRF1 sugeriu que fosse</w:t>
            </w:r>
            <w:r w:rsidR="008B668C" w:rsidRPr="00E40CDE">
              <w:t xml:space="preserve"> incluído </w:t>
            </w:r>
            <w:r w:rsidR="001B381E" w:rsidRPr="00E40CDE">
              <w:t>no PALP</w:t>
            </w:r>
            <w:r w:rsidR="008B668C" w:rsidRPr="00E40CDE">
              <w:t>, em separado,</w:t>
            </w:r>
            <w:r w:rsidR="001B381E" w:rsidRPr="00E40CDE">
              <w:t xml:space="preserve"> </w:t>
            </w:r>
            <w:r w:rsidR="008C40D3" w:rsidRPr="00E40CDE">
              <w:t xml:space="preserve"> o tema </w:t>
            </w:r>
            <w:r w:rsidRPr="00E40CDE">
              <w:t xml:space="preserve">“Gestão de Precatórios e RPVs”, em face da demanda do TCU pela realização de auditoria sobre essa matéria. </w:t>
            </w:r>
            <w:r w:rsidR="008C40D3" w:rsidRPr="00E40CDE">
              <w:t xml:space="preserve">Propôs que a avaliação do tema “Integridade Institucional” fosse incluído, de forma explícita, dentre os objetivos do tema “Governança e Gestão Estratégica”, em virtude da necessidade de avaliar a implementação dessa matéria no âmbito dos órgãos públicos. </w:t>
            </w:r>
            <w:r w:rsidRPr="00E40CDE">
              <w:t>Sugeriu, ainda, que</w:t>
            </w:r>
            <w:r w:rsidR="00772915" w:rsidRPr="00E40CDE">
              <w:t xml:space="preserve"> no tema “Gestão Documental” fosse incluída uma avaliação da Lei Geral de Proteção de Dados.</w:t>
            </w:r>
          </w:p>
          <w:p w14:paraId="6F982F0A" w14:textId="2557341A" w:rsidR="00772915" w:rsidRPr="00E40CDE" w:rsidRDefault="00772915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E40CDE">
              <w:t>A representante do TRF5 considerou satisfatórios os temas sugeridos e concordou com a sugestão do TRF1 de incluir o tema “Gestão de Precatórios e RPVs” separadamente. Questionou se a ideia é a de adotar o PALP como obrigatório e único em todo o Sistema de Auditoria Interna da Justiça Federal ou cada TRF terá autonomia para fazer as adequações que considerar necessárias.</w:t>
            </w:r>
          </w:p>
          <w:p w14:paraId="1D768012" w14:textId="0D6D9BD2" w:rsidR="00772915" w:rsidRPr="00777D58" w:rsidRDefault="00772915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  <w:rPr>
                <w:strike/>
              </w:rPr>
            </w:pPr>
            <w:r w:rsidRPr="00E40CDE">
              <w:t>A Secretária de Auditoria Interna do CJF respondeu que o PALP proposto é um plano referencial</w:t>
            </w:r>
            <w:r w:rsidR="00777D58">
              <w:t xml:space="preserve"> </w:t>
            </w:r>
            <w:r w:rsidR="00777D58" w:rsidRPr="00777D58">
              <w:t xml:space="preserve">e </w:t>
            </w:r>
            <w:r w:rsidRPr="00777D58">
              <w:t>que</w:t>
            </w:r>
            <w:r w:rsidRPr="00E40CDE">
              <w:t xml:space="preserve"> </w:t>
            </w:r>
            <w:r w:rsidR="00777D58">
              <w:t>c</w:t>
            </w:r>
            <w:r w:rsidRPr="00E40CDE">
              <w:t>ada órgão deve colocar no seu PALP apenas os temas que serão capazes de contemplar. O tema “Gestão de Precatórios e RPVs”, por exemplo, embora possa ser incluído no PALP, caso todos concordem, não será objeto de auditoria pelo CJF</w:t>
            </w:r>
            <w:r w:rsidR="00A37E1D" w:rsidRPr="00E40CDE">
              <w:t xml:space="preserve">, já que o Órgão não </w:t>
            </w:r>
            <w:r w:rsidR="00A37E1D" w:rsidRPr="00777D58">
              <w:t>executa despesas com esses requisitórios. Ponderou, ainda, que as Unidades de Auditoria Interna têm a necessidade de incluir</w:t>
            </w:r>
            <w:r w:rsidR="00777D58" w:rsidRPr="00777D58">
              <w:t xml:space="preserve"> </w:t>
            </w:r>
            <w:r w:rsidR="00A37E1D" w:rsidRPr="00777D58">
              <w:t>tema</w:t>
            </w:r>
            <w:r w:rsidR="00033E7E" w:rsidRPr="00777D58">
              <w:t>s</w:t>
            </w:r>
            <w:r w:rsidR="00A37E1D" w:rsidRPr="00777D58">
              <w:t xml:space="preserve"> em seus planos anuais ou de longo prazo, em decorrência de demandas da Alta Administração</w:t>
            </w:r>
            <w:r w:rsidR="00033E7E" w:rsidRPr="00777D58">
              <w:t xml:space="preserve"> ou das análises de risco efetuadas</w:t>
            </w:r>
            <w:r w:rsidR="00A37E1D" w:rsidRPr="00777D58">
              <w:t xml:space="preserve">. </w:t>
            </w:r>
          </w:p>
          <w:p w14:paraId="50217751" w14:textId="67DD2DD9" w:rsidR="00A37E1D" w:rsidRPr="00E40CDE" w:rsidRDefault="00A37E1D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777D58">
              <w:t>O representante do TRF2 também considerou satisfatórios</w:t>
            </w:r>
            <w:r w:rsidRPr="00E40CDE">
              <w:t xml:space="preserve"> os temas propostos e concordou com a proposta do TRF1 de incluir o tema “Integridade Institucional” como parte do tema “Governança e Gestão Estratégica”.</w:t>
            </w:r>
          </w:p>
          <w:p w14:paraId="2B34DA5D" w14:textId="0DD57D2F" w:rsidR="00C2695D" w:rsidRPr="00E40CDE" w:rsidRDefault="00C2695D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E40CDE">
              <w:t>O representante do TRF4 considerou satisfatórios os temas propostos, acentuando que, no seu entendimento, o PALP deve ser único para cada Região.</w:t>
            </w:r>
          </w:p>
          <w:p w14:paraId="52302407" w14:textId="0A03109E" w:rsidR="00C2695D" w:rsidRPr="00E40CDE" w:rsidRDefault="00C2695D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E40CDE">
              <w:t>A representante do TRF3, do mesmo modo, considerou o PALP proposto satisfatório, aduzindo que na 3ª Região o PALP é</w:t>
            </w:r>
            <w:r w:rsidR="00475A31" w:rsidRPr="00E40CDE">
              <w:t xml:space="preserve"> único e </w:t>
            </w:r>
            <w:r w:rsidRPr="00E40CDE">
              <w:t>ressaltando que irá contribuir muito para a elaboração do Plano Regiona</w:t>
            </w:r>
            <w:r w:rsidR="00475A31" w:rsidRPr="00E40CDE">
              <w:t>l</w:t>
            </w:r>
            <w:r w:rsidRPr="00E40CDE">
              <w:t>.</w:t>
            </w:r>
          </w:p>
          <w:p w14:paraId="32A133A6" w14:textId="7AFC10F6" w:rsidR="00475A31" w:rsidRPr="00E40CDE" w:rsidRDefault="00475A31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E40CDE">
              <w:t>A representante do TRF5 confirmou que na 5ª Região o PALP também é único.</w:t>
            </w:r>
          </w:p>
          <w:p w14:paraId="3323A88D" w14:textId="0A1B2B47" w:rsidR="00475A31" w:rsidRPr="00E40CDE" w:rsidRDefault="00475A31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E40CDE">
              <w:t>O representante do TRF1 afirmou que na 1ª Região é praticamente impossível elaborar um PALP único, pois muitas seccionais não tem estrutura suficiente para executar os temas do PALP. Observou que, no âmbito da Região, procura-se eleger temas prioritários, para que as seccionais com menor estrutura realizem apenas o que estiver de acordo com sua capacidade.</w:t>
            </w:r>
          </w:p>
          <w:p w14:paraId="4F57F5D2" w14:textId="6D9CF07D" w:rsidR="00475A31" w:rsidRPr="00E40CDE" w:rsidRDefault="00475A31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E40CDE">
              <w:t>O representante do TRF2 salientou que, de acordo com a experiência implementada na 2ª Região, a realização de um plano único de auditoria diminuiu significativamente o retrabalho e o estoque de achados, ressaltando que a expectativa é que os relatórios sejam elaborados conjuntamente e que a qualidade dos trabalhos seja incrementada.</w:t>
            </w:r>
          </w:p>
          <w:p w14:paraId="38C2D1B0" w14:textId="4EB7593D" w:rsidR="00475A31" w:rsidRPr="00777D58" w:rsidRDefault="00475A31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777D58">
              <w:t xml:space="preserve">A representante do TRF5 acentuou, a esse respeito, que a carência de pessoal nas seccionais é mais uma razão para </w:t>
            </w:r>
            <w:r w:rsidR="00033E7E" w:rsidRPr="00777D58">
              <w:t xml:space="preserve">que </w:t>
            </w:r>
            <w:r w:rsidRPr="00777D58">
              <w:t>sejam reunidos os esforços das equipes do Tribunal e de todas as seccionais vinculadas</w:t>
            </w:r>
            <w:r w:rsidR="00E40A97" w:rsidRPr="00777D58">
              <w:t>, pois isso contribui para agregar valor e aproveitar melhor o trabalho de todos.</w:t>
            </w:r>
          </w:p>
          <w:p w14:paraId="5A1FD983" w14:textId="5C6F15B4" w:rsidR="00E40A97" w:rsidRPr="00777D58" w:rsidRDefault="00E40A97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777D58">
              <w:t xml:space="preserve">O representante da Seção Judiciária </w:t>
            </w:r>
            <w:r w:rsidR="00E40CDE" w:rsidRPr="00777D58">
              <w:t xml:space="preserve">da </w:t>
            </w:r>
            <w:r w:rsidR="00777D58" w:rsidRPr="00777D58">
              <w:t>1</w:t>
            </w:r>
            <w:r w:rsidR="00E40CDE" w:rsidRPr="00777D58">
              <w:t xml:space="preserve">ª Região </w:t>
            </w:r>
            <w:r w:rsidRPr="00777D58">
              <w:t>levantou dúvida sobre o trabalho conjunto relatado pelo representante do TRF2: se os relatórios de auditoria seriam únicos também.</w:t>
            </w:r>
          </w:p>
          <w:p w14:paraId="187ABFB1" w14:textId="2CA0859D" w:rsidR="00E40A97" w:rsidRPr="00E40CDE" w:rsidRDefault="00E40A97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777D58">
              <w:t>O representante do</w:t>
            </w:r>
            <w:r w:rsidR="0069722B" w:rsidRPr="00777D58">
              <w:t xml:space="preserve"> TRF2 respondeu que sim, os relatórios são únicos, mas cada unidade elege uma amostra específica e realiza</w:t>
            </w:r>
            <w:r w:rsidR="0069722B" w:rsidRPr="00E40CDE">
              <w:t xml:space="preserve"> testes na medida de sua capacidade, sendo a quantidade de horas de trabalho de cada profissional </w:t>
            </w:r>
            <w:r w:rsidR="0069722B" w:rsidRPr="00777D58">
              <w:t>envolvido proporcional</w:t>
            </w:r>
            <w:r w:rsidR="0069722B" w:rsidRPr="00E40CDE">
              <w:t xml:space="preserve"> à estrutura de cada unidade.</w:t>
            </w:r>
          </w:p>
          <w:p w14:paraId="7239E6E1" w14:textId="72838186" w:rsidR="0069722B" w:rsidRPr="00E40CDE" w:rsidRDefault="0069722B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E40CDE">
              <w:t>O representante do TRF1 agradeceu a troca de experiências, salientando que  na 1ª Região busca-se, anualmente, realizar ao menos uma auditoria conjunta, além da auditoria nas contas e que vai conversar com a titular da Unidade a respeito da possibilidade de ampliar os trabalhos conjuntos.</w:t>
            </w:r>
          </w:p>
          <w:p w14:paraId="3A0CE9B7" w14:textId="0A8F5479" w:rsidR="0069722B" w:rsidRPr="00E40CDE" w:rsidRDefault="0069722B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  <w:rPr>
                <w:b/>
              </w:rPr>
            </w:pPr>
            <w:r w:rsidRPr="00E40CDE">
              <w:rPr>
                <w:b/>
              </w:rPr>
              <w:t>Deliberação:</w:t>
            </w:r>
          </w:p>
          <w:p w14:paraId="37A84AAC" w14:textId="1E6EA028" w:rsidR="0069722B" w:rsidRPr="00E40CDE" w:rsidRDefault="0069722B" w:rsidP="00772915">
            <w:pPr>
              <w:pStyle w:val="dou-paragraph"/>
              <w:shd w:val="clear" w:color="auto" w:fill="FFFFFF"/>
              <w:spacing w:before="0" w:beforeAutospacing="0" w:after="150" w:afterAutospacing="0"/>
              <w:ind w:left="720" w:right="259"/>
              <w:jc w:val="both"/>
            </w:pPr>
            <w:r w:rsidRPr="00777D58">
              <w:t xml:space="preserve">Os membros do CTAI aprovaram os temas propostos para o PALP 2022-2025, </w:t>
            </w:r>
            <w:r w:rsidR="00E40CDE" w:rsidRPr="00777D58">
              <w:t>como referenciais</w:t>
            </w:r>
            <w:r w:rsidR="00E40CDE">
              <w:t xml:space="preserve">, </w:t>
            </w:r>
            <w:r w:rsidRPr="00E40CDE">
              <w:t>acrescentando-se a esses temas, em separado, o tema “Gestão de Precatórios e RPVs”</w:t>
            </w:r>
            <w:r w:rsidR="008C40D3" w:rsidRPr="00E40CDE">
              <w:t>, bem como a avaliação da</w:t>
            </w:r>
            <w:r w:rsidRPr="00E40CDE">
              <w:t xml:space="preserve"> “Integridade Institucional”</w:t>
            </w:r>
            <w:r w:rsidR="008C40D3" w:rsidRPr="00E40CDE">
              <w:t xml:space="preserve"> como um dos objetivos, explicitamente, do tema “Governança e Gestão Estratégica”</w:t>
            </w:r>
            <w:r w:rsidR="00E40CDE" w:rsidRPr="00E40CDE">
              <w:t>, nos termos a seguir:</w:t>
            </w:r>
          </w:p>
          <w:p w14:paraId="13A97B93" w14:textId="77777777" w:rsidR="00E40CDE" w:rsidRPr="00E40CDE" w:rsidRDefault="00E40CDE" w:rsidP="00E40CDE">
            <w:pPr>
              <w:spacing w:line="238" w:lineRule="auto"/>
              <w:ind w:left="2" w:right="12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671AB" w14:textId="74B1A0A7" w:rsidR="00E40CDE" w:rsidRPr="00E40CDE" w:rsidRDefault="00E40CDE" w:rsidP="002556A4">
            <w:pPr>
              <w:pStyle w:val="dou-paragraph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>Gestão Orçamentária, Financeira, Contábil e Patrimonial</w:t>
            </w:r>
            <w:r w:rsidRPr="00E40CDE">
              <w:t xml:space="preserve"> – objetivo: Avaliar se a gestão orçamentária, financeira e patrimonial do órgão está em conformidade, com as leis e regulamentos aplicáveis e com os princípios de administração pública.</w:t>
            </w:r>
          </w:p>
          <w:p w14:paraId="7473A0F5" w14:textId="77777777" w:rsidR="00E40CDE" w:rsidRPr="00E40CDE" w:rsidRDefault="00E40CDE" w:rsidP="002556A4">
            <w:pPr>
              <w:pStyle w:val="dou-paragraph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>Gestão Documental (englobando a avaliação do cumprimento da LGPD e da LAI)</w:t>
            </w:r>
            <w:r w:rsidRPr="00E40CDE">
              <w:t xml:space="preserve"> – objetivo: Avaliar a aderência do órgão às normas, regulamentos e diretrizes da gestão de processos e documentos institucionais;</w:t>
            </w:r>
          </w:p>
          <w:p w14:paraId="12F2D02B" w14:textId="77777777" w:rsidR="00E40CDE" w:rsidRPr="00E40CDE" w:rsidRDefault="00E40CDE" w:rsidP="002556A4">
            <w:pPr>
              <w:pStyle w:val="dou-paragraph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>Governança e Gestão de Pessoas</w:t>
            </w:r>
            <w:r w:rsidRPr="00E40CDE">
              <w:t xml:space="preserve"> – objetivo: Avaliar o grau de maturidade do órgão na aderência aos referenciais de governança, bem como a conformidade, a eficiência e a eficácia dos processos de trabalho atinentes à área de gestão de pessoas, às normas e aos regulamentos aplicáveis, uma vez se tratar do tema de maior materialidade dentro da organização;</w:t>
            </w:r>
          </w:p>
          <w:p w14:paraId="0828AA29" w14:textId="77777777" w:rsidR="00E40CDE" w:rsidRPr="00E40CDE" w:rsidRDefault="00E40CDE" w:rsidP="002556A4">
            <w:pPr>
              <w:pStyle w:val="dou-paragraph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>Governança e Gestão da Tecnologia da Informação</w:t>
            </w:r>
            <w:r w:rsidRPr="00E40CDE">
              <w:t xml:space="preserve"> - objetivo: avaliar o grau de maturidade do órgão na aderência aos referenciais de governança, bem como a conformidade, a eficiência e a eficácia dos processos de trabalho atinentes à área de tecnologia da informação, às normas e aos regulamentos aplicáveis;</w:t>
            </w:r>
          </w:p>
          <w:p w14:paraId="1B14A4A3" w14:textId="77777777" w:rsidR="00E40CDE" w:rsidRPr="00E40CDE" w:rsidRDefault="00E40CDE" w:rsidP="002556A4">
            <w:pPr>
              <w:pStyle w:val="dou-paragraph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 xml:space="preserve">Governança e Gestão em Sustentabilidade </w:t>
            </w:r>
            <w:r w:rsidRPr="00E40CDE">
              <w:t>- objetivo: Avaliar a aderência do órgão à Política de Sustentabilidade, bem como a elaboração, revisão e o cumprimento do Plano de Logística Sustentável – PLS, instrumento que deverá envolver as dimensões ambiental, social e econômica.</w:t>
            </w:r>
          </w:p>
          <w:p w14:paraId="01FCCE78" w14:textId="67026AD0" w:rsidR="00E40CDE" w:rsidRPr="00E40CDE" w:rsidRDefault="00E40CDE" w:rsidP="002556A4">
            <w:pPr>
              <w:pStyle w:val="dou-paragraph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>Governança e Gestão Estratégica (englobando avaliação de resultados)</w:t>
            </w:r>
            <w:r w:rsidRPr="00E40CDE">
              <w:t xml:space="preserve"> - objetivo: Avaliar a estrutura de Governança Institucional, o cumprimento do Planejamento Estratégico Institucional, a implementação, o grau de maturidade e a gestão dos riscos dos processos de trabalho e controles internos administrativos do órgão, bem como a </w:t>
            </w:r>
            <w:r w:rsidRPr="00E40CDE">
              <w:rPr>
                <w:b/>
              </w:rPr>
              <w:t xml:space="preserve">Integridade Institucional, </w:t>
            </w:r>
            <w:r w:rsidRPr="00E40CDE">
              <w:t>em particular, a conformidade aos dispositivos da Resolução n. 410, de 23 de agosto de 2021, do Conselho Nacional de Justiça.</w:t>
            </w:r>
          </w:p>
          <w:p w14:paraId="5A898F7C" w14:textId="77777777" w:rsidR="00E40CDE" w:rsidRPr="00E40CDE" w:rsidRDefault="00E40CDE" w:rsidP="002556A4">
            <w:pPr>
              <w:pStyle w:val="dou-paragraph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>Governança e Gestão das Contratações - objetivo</w:t>
            </w:r>
            <w:r w:rsidRPr="00E40CDE">
              <w:t xml:space="preserve">: Avaliar a implementação dos instrumentos de Governança das Contratações, previstos nos normativos vigentes, bem como a transição para os procedimentos do novo regime jurídico das contratações públicas estabelecido pela Lei n. 14.133/2021. </w:t>
            </w:r>
            <w:bookmarkStart w:id="2" w:name="_GoBack"/>
            <w:bookmarkEnd w:id="2"/>
          </w:p>
          <w:p w14:paraId="13603C0E" w14:textId="12A479E1" w:rsidR="00B94157" w:rsidRPr="00E40CDE" w:rsidRDefault="00E40CDE" w:rsidP="002556A4">
            <w:pPr>
              <w:pStyle w:val="dou-paragraph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right="259"/>
              <w:jc w:val="both"/>
            </w:pPr>
            <w:r w:rsidRPr="00E40CDE">
              <w:rPr>
                <w:b/>
              </w:rPr>
              <w:t xml:space="preserve"> Gestão de precatórios e RPVs – objetivo</w:t>
            </w:r>
            <w:r w:rsidRPr="00E40CDE">
              <w:t>: avaliar os riscos e os controles existentes no processo de trabalho de gestão de precatórios e requisições de pequeno valor e as oportunidades de melhoria.</w:t>
            </w:r>
          </w:p>
        </w:tc>
      </w:tr>
      <w:tr w:rsidR="00EA14B2" w:rsidRPr="00745C17" w14:paraId="05617D90" w14:textId="77777777" w:rsidTr="00EA14B2">
        <w:trPr>
          <w:trHeight w:val="9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79E2" w14:textId="71EE5311" w:rsidR="00EA14B2" w:rsidRPr="00BD0DD4" w:rsidRDefault="00EA14B2" w:rsidP="002244DA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TEMA 2</w:t>
            </w:r>
            <w:r w:rsidRPr="00C93FA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Ação Conjunta de Auditoria - 2022</w:t>
            </w:r>
          </w:p>
          <w:p w14:paraId="0FFCD589" w14:textId="23DC1C9C" w:rsidR="00EA14B2" w:rsidRPr="002244DA" w:rsidRDefault="00EA14B2" w:rsidP="002244DA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044E" w14:textId="77777777" w:rsidR="00EA14B2" w:rsidRDefault="00EA14B2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Deliberar sobre o tema da Ação Conjunta de Auditoria para o exercício de 2022</w:t>
            </w:r>
          </w:p>
          <w:p w14:paraId="0A313370" w14:textId="77777777" w:rsidR="004822AD" w:rsidRDefault="004822AD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4880FC" w14:textId="1BAC881F" w:rsidR="004822AD" w:rsidRDefault="004822AD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respeito desse tema, a Secretária de Auditoria Interna do CJF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acentuou que, preliminarmente, foram levantados dois temas possíveis para uma Ação Conjunta de Auditoria: a Acessibilidade Física (das instalações prediais)  e a Governança de Tecnologia da Informação, que havia sido sugerida como tema de Ação Conjunta </w:t>
            </w:r>
            <w:r w:rsidRP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>para 202</w:t>
            </w:r>
            <w:r w:rsidR="00E40CDE" w:rsidRP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>, posteriormente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adiada para 2022 pelo então Comitê Técnico de Controle Interno.</w:t>
            </w:r>
          </w:p>
          <w:p w14:paraId="34DE39D6" w14:textId="4C5D987D" w:rsidR="004822AD" w:rsidRDefault="004822AD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FD3C5" w14:textId="1597FD20" w:rsidR="004822AD" w:rsidRDefault="004822AD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representante do TRF5 sugeriu que fosse eleito como tema da Auditoria Conjunta as aquisições na área de TI, uma vez que pode ser abrangido pela Auditoria de Contas.</w:t>
            </w:r>
          </w:p>
          <w:p w14:paraId="02D65F6A" w14:textId="75170E1E" w:rsidR="006948BF" w:rsidRDefault="006948BF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57FFA" w14:textId="670E4819" w:rsidR="006948BF" w:rsidRDefault="006948BF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Subsecretária de Governança e de Gestão da SAI/CJF lembrou que o Conselho Nacional de Justiça está discutindo a possibilidade de, no próximo exercício, realizar uma Ação Coordenada de Auditoria também na área de TI, e que não seria interessante realizar duas auditorias conjuntas sobre o mesmo tema.</w:t>
            </w:r>
          </w:p>
          <w:p w14:paraId="29F0D800" w14:textId="179B4794" w:rsidR="006948BF" w:rsidRDefault="006948BF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5A87F" w14:textId="35F45065" w:rsidR="006948BF" w:rsidRDefault="00E40CDE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>Após debate pelos membros do CTAI, d</w:t>
            </w:r>
            <w:r w:rsidR="006948BF" w:rsidRP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>iante</w:t>
            </w:r>
            <w:r w:rsidR="00694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indefinição do tema da Ação Coordenada de Auditoria do CNJ, os representantes do TRF1 e do TRF4 sugeriram que, neste primeiro momento, não fosse definido nenhum tema para a Auditoria Conjunta no âmbito da Justiça Federal, aguardando-se, primeiramente, a definição do tema da Ação Coordenada do CNJ.</w:t>
            </w:r>
          </w:p>
          <w:p w14:paraId="46515F3B" w14:textId="3ABF3FBD" w:rsidR="006948BF" w:rsidRDefault="006948BF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CFF50" w14:textId="4F98F70D" w:rsidR="006948BF" w:rsidRDefault="006948BF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representante do TRF2, por sua vez, sugeriu que o tema da Acessibilidade Predial fosse incluído como tema da Auditoria Conjunta no âmbito da Justiça Federal e, caso o CNJ defina esse tema para a Ação Conjunta em 2022,  todos converteriam as horas separadas para esse tema em seus planos anuais para a Ação Conjunta do CNJ.</w:t>
            </w:r>
            <w:r w:rsidR="00D0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representante do TRF1 concordou com essa proposta.</w:t>
            </w:r>
          </w:p>
          <w:p w14:paraId="024E6E65" w14:textId="77777777" w:rsidR="00D54737" w:rsidRDefault="00D54737" w:rsidP="00D5473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768B5" w14:textId="5D59EF55" w:rsidR="00D54737" w:rsidRPr="00D54737" w:rsidRDefault="00D54737" w:rsidP="00D5473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Já os representantes dos TRFs da 3ª e da 4ª Região salientaram que não possuem condições para </w:t>
            </w:r>
            <w:r w:rsidRPr="00D54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realizar uma auditoria de Acessibilidade Predial, uma vez que possuem muitos imóveis.</w:t>
            </w:r>
          </w:p>
          <w:p w14:paraId="3A4A8C5C" w14:textId="77777777" w:rsidR="00D54737" w:rsidRPr="00D54737" w:rsidRDefault="00D54737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0A60E" w14:textId="364BCF36" w:rsidR="00D54737" w:rsidRPr="00777D58" w:rsidRDefault="006948BF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representante do TRF5 opinou que, se não estiver dentro do escopo da Auditoria de Contas, o melhor seria não definir nenhum tema para a Auditoria Conjunta</w:t>
            </w:r>
            <w:r w:rsidR="00D54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CDE" w:rsidRP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>em função das demandas e limitações existentes.</w:t>
            </w:r>
            <w:r w:rsidR="00D0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737" w:rsidRPr="00777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Já a representante do TRF3, concordou com a representante do TRF5 e salientou que, também, não possui condições para realizar auditoria conjunta que não integre a Auditoria de Contas.</w:t>
            </w:r>
          </w:p>
          <w:p w14:paraId="547D7659" w14:textId="6C3206E7" w:rsidR="00D05FD8" w:rsidRDefault="00D05FD8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FAC33" w14:textId="29545F66" w:rsidR="00D05FD8" w:rsidRDefault="00D05FD8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Secretária de Auditoria Interna do CJF aduziu que, como dois TRFs manifestaram ter dificuldades para realização </w:t>
            </w:r>
            <w:r w:rsid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>de auditoria fora do escopo da Auditoria de Contas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tendo em vista que todos os Órgãos ainda estão em processo de aprendizagem quanto à realização da Auditoria de Contas, propôs que o CTAI analise a possibilidade de realização de uma auditoria conjunta, com mais qualidade, apenas no exercício de 2023.</w:t>
            </w:r>
          </w:p>
          <w:p w14:paraId="69221F27" w14:textId="5D1217FF" w:rsidR="00D05FD8" w:rsidRDefault="00D05FD8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F8301" w14:textId="7391B208" w:rsidR="00D05FD8" w:rsidRPr="00D05FD8" w:rsidRDefault="00D05FD8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Deliberação: </w:t>
            </w:r>
          </w:p>
          <w:p w14:paraId="3767C97A" w14:textId="5EA729F4" w:rsidR="00D05FD8" w:rsidRDefault="00D05FD8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membros do CTAI concordaram em não eleger, por ora, um tema para realização de Auditoria Conjunta em 2022, ficando, a princípio, para 2023.</w:t>
            </w:r>
          </w:p>
          <w:p w14:paraId="7198938D" w14:textId="4E07CCCC" w:rsidR="004822AD" w:rsidRPr="004822AD" w:rsidRDefault="004822AD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4B2" w:rsidRPr="00745C17" w14:paraId="5E7EE18E" w14:textId="77777777" w:rsidTr="00EA14B2">
        <w:trPr>
          <w:trHeight w:val="9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A0F2" w14:textId="1D21A446" w:rsidR="00EA14B2" w:rsidRDefault="00EA14B2" w:rsidP="002244DA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TEMA 3</w:t>
            </w:r>
            <w:r w:rsidRPr="00E14B3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: Proposta de alteração das Resoluções CJF n. 653, 676 e 677/2020, em decorrência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entrada em vigor</w:t>
            </w:r>
            <w:r w:rsidRPr="00E14B3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da Resolução CNJ n. 422/2021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9307" w14:textId="77777777" w:rsidR="00EA14B2" w:rsidRDefault="00EA14B2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Objetivo: </w:t>
            </w:r>
            <w:r w:rsidRPr="00E14B35">
              <w:rPr>
                <w:rFonts w:ascii="Times New Roman" w:eastAsia="Times New Roman" w:hAnsi="Times New Roman" w:cs="Times New Roman"/>
                <w:sz w:val="24"/>
                <w:szCs w:val="24"/>
              </w:rPr>
              <w:t>Discutir e deliberar sobre a redação da minuta das Resoluções que irão alterar as Resoluções CJF n. 653, 676 e 677/2020, em decorrência da entrada em vigor da Resolução CNJ n. 422/2021</w:t>
            </w:r>
          </w:p>
          <w:p w14:paraId="613333B1" w14:textId="77777777" w:rsidR="00D05FD8" w:rsidRDefault="00D05FD8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82190" w14:textId="78CE0EA5" w:rsidR="00D05FD8" w:rsidRDefault="00D05FD8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D8">
              <w:rPr>
                <w:rFonts w:ascii="Times New Roman" w:eastAsia="Times New Roman" w:hAnsi="Times New Roman" w:cs="Times New Roman"/>
                <w:sz w:val="24"/>
                <w:szCs w:val="24"/>
              </w:rPr>
              <w:t>A Secretária de Auditoria Interna do CJF iniciou a leitura do quadro comparativo elaborado pelo CJF, contendo o texto original das Resoluções n. 308/2020 e n. 309/2020 do CNJ, o texto da Resolução CNJ n. 422/2021, que alterou esses normativos, o texto original das Resoluções CJF n. 676/2020, 677/2020 e 653/2020, e o texto da proposta de alteração dessas Resoluções do CJF.</w:t>
            </w:r>
          </w:p>
          <w:p w14:paraId="03FC3813" w14:textId="77777777" w:rsidR="00D54737" w:rsidRDefault="00D54737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AEAC8" w14:textId="29B8BA67" w:rsidR="00777D58" w:rsidRDefault="00E70977" w:rsidP="00777D58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seguida</w:t>
            </w:r>
            <w:r w:rsidR="00D54737">
              <w:rPr>
                <w:rFonts w:ascii="Times New Roman" w:eastAsia="Times New Roman" w:hAnsi="Times New Roman" w:cs="Times New Roman"/>
                <w:sz w:val="24"/>
                <w:szCs w:val="24"/>
              </w:rPr>
              <w:t>, deu-se início à análise das propostas de alterações para os artigos 6º e 7º,</w:t>
            </w:r>
            <w:r w:rsid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sequência</w:t>
            </w:r>
            <w:r w:rsidR="00D5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77D58" w:rsidRPr="00075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devido à necessidade de 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alguns</w:t>
            </w:r>
            <w:r w:rsidR="00777D58" w:rsidRPr="00075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membros se retirassem, em função do </w:t>
            </w:r>
            <w:r w:rsid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iminente </w:t>
            </w:r>
            <w:r w:rsidR="00777D58" w:rsidRPr="00075577">
              <w:rPr>
                <w:rFonts w:ascii="Times New Roman" w:eastAsia="Times New Roman" w:hAnsi="Times New Roman" w:cs="Times New Roman"/>
                <w:sz w:val="24"/>
                <w:szCs w:val="24"/>
              </w:rPr>
              <w:t>encerramento do horário de expediente, foi interrompida a análise da minuta, encerrando-se a reunião</w:t>
            </w:r>
            <w:r w:rsidR="00777D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54EB19" w14:textId="76763877" w:rsidR="00777D58" w:rsidRDefault="00777D58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CF834" w14:textId="77777777" w:rsidR="00777D58" w:rsidRDefault="00777D58" w:rsidP="00777D58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Deliberação:</w:t>
            </w:r>
          </w:p>
          <w:p w14:paraId="74FABCA7" w14:textId="77777777" w:rsidR="00777D58" w:rsidRPr="00075577" w:rsidRDefault="00777D58" w:rsidP="00777D58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FBF4B2" w14:textId="47EEFA94" w:rsidR="00777D58" w:rsidRDefault="00777D58" w:rsidP="0046182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77">
              <w:rPr>
                <w:rFonts w:ascii="Times New Roman" w:eastAsia="Times New Roman" w:hAnsi="Times New Roman" w:cs="Times New Roman"/>
                <w:sz w:val="24"/>
                <w:szCs w:val="24"/>
              </w:rPr>
              <w:t>Acordou-se que seria realizada mais uma reunião para finalização das análises da minuta, no próximo dia 26 de outubro de 2021, no mesmo horário.</w:t>
            </w:r>
          </w:p>
          <w:p w14:paraId="5E542E3E" w14:textId="17DC7B31" w:rsidR="00D05FD8" w:rsidRPr="00C93FA5" w:rsidRDefault="00D05FD8" w:rsidP="00E70977">
            <w:pPr>
              <w:spacing w:line="238" w:lineRule="auto"/>
              <w:ind w:left="2" w:right="121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F6A8F6" w14:textId="6B5071AF" w:rsidR="00B9691A" w:rsidRDefault="00B9691A" w:rsidP="00EB77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691A" w:rsidSect="0048269A">
      <w:pgSz w:w="11906" w:h="16841"/>
      <w:pgMar w:top="284" w:right="17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1217" w14:textId="77777777" w:rsidR="00096B0D" w:rsidRDefault="00096B0D" w:rsidP="00FF77C7">
      <w:pPr>
        <w:spacing w:after="0" w:line="240" w:lineRule="auto"/>
      </w:pPr>
      <w:r>
        <w:separator/>
      </w:r>
    </w:p>
  </w:endnote>
  <w:endnote w:type="continuationSeparator" w:id="0">
    <w:p w14:paraId="1916B39A" w14:textId="77777777" w:rsidR="00096B0D" w:rsidRDefault="00096B0D" w:rsidP="00F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D8AD" w14:textId="77777777" w:rsidR="00096B0D" w:rsidRDefault="00096B0D" w:rsidP="00FF77C7">
      <w:pPr>
        <w:spacing w:after="0" w:line="240" w:lineRule="auto"/>
      </w:pPr>
      <w:r>
        <w:separator/>
      </w:r>
    </w:p>
  </w:footnote>
  <w:footnote w:type="continuationSeparator" w:id="0">
    <w:p w14:paraId="400DF6B8" w14:textId="77777777" w:rsidR="00096B0D" w:rsidRDefault="00096B0D" w:rsidP="00FF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0AC"/>
    <w:multiLevelType w:val="hybridMultilevel"/>
    <w:tmpl w:val="E140E60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357A1"/>
    <w:multiLevelType w:val="hybridMultilevel"/>
    <w:tmpl w:val="F9CCA184"/>
    <w:lvl w:ilvl="0" w:tplc="B176AB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2AF"/>
    <w:multiLevelType w:val="hybridMultilevel"/>
    <w:tmpl w:val="76D8D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C1C"/>
    <w:multiLevelType w:val="hybridMultilevel"/>
    <w:tmpl w:val="8934F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770F"/>
    <w:multiLevelType w:val="hybridMultilevel"/>
    <w:tmpl w:val="360A9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904"/>
    <w:multiLevelType w:val="hybridMultilevel"/>
    <w:tmpl w:val="AFCA8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9D3"/>
    <w:multiLevelType w:val="hybridMultilevel"/>
    <w:tmpl w:val="58C0164A"/>
    <w:lvl w:ilvl="0" w:tplc="EBEC8352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2E692CAD"/>
    <w:multiLevelType w:val="hybridMultilevel"/>
    <w:tmpl w:val="C002A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C3D05"/>
    <w:multiLevelType w:val="hybridMultilevel"/>
    <w:tmpl w:val="B34AD23A"/>
    <w:lvl w:ilvl="0" w:tplc="C590DC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605FB8"/>
    <w:multiLevelType w:val="hybridMultilevel"/>
    <w:tmpl w:val="D6BECB60"/>
    <w:lvl w:ilvl="0" w:tplc="28ACB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2166B"/>
    <w:multiLevelType w:val="hybridMultilevel"/>
    <w:tmpl w:val="06D2E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BE"/>
    <w:rsid w:val="000329E9"/>
    <w:rsid w:val="00033E7E"/>
    <w:rsid w:val="00052706"/>
    <w:rsid w:val="00052F87"/>
    <w:rsid w:val="00075577"/>
    <w:rsid w:val="00080831"/>
    <w:rsid w:val="00096B0D"/>
    <w:rsid w:val="000C1E84"/>
    <w:rsid w:val="000C6BD9"/>
    <w:rsid w:val="000C6C98"/>
    <w:rsid w:val="001B381E"/>
    <w:rsid w:val="001B5794"/>
    <w:rsid w:val="002244DA"/>
    <w:rsid w:val="002556A4"/>
    <w:rsid w:val="00276341"/>
    <w:rsid w:val="002C4737"/>
    <w:rsid w:val="002E2076"/>
    <w:rsid w:val="002E745C"/>
    <w:rsid w:val="00372DF3"/>
    <w:rsid w:val="003E539C"/>
    <w:rsid w:val="00461827"/>
    <w:rsid w:val="00475A31"/>
    <w:rsid w:val="004822AD"/>
    <w:rsid w:val="0048269A"/>
    <w:rsid w:val="004A1C71"/>
    <w:rsid w:val="004A7416"/>
    <w:rsid w:val="004B12CE"/>
    <w:rsid w:val="004F2F68"/>
    <w:rsid w:val="00510ABC"/>
    <w:rsid w:val="00543C53"/>
    <w:rsid w:val="00547735"/>
    <w:rsid w:val="005C1DA2"/>
    <w:rsid w:val="005C3F7C"/>
    <w:rsid w:val="005E080A"/>
    <w:rsid w:val="00614124"/>
    <w:rsid w:val="006343CD"/>
    <w:rsid w:val="0068473F"/>
    <w:rsid w:val="0069419C"/>
    <w:rsid w:val="006948BF"/>
    <w:rsid w:val="0069722B"/>
    <w:rsid w:val="006D20BE"/>
    <w:rsid w:val="00701F68"/>
    <w:rsid w:val="007126B1"/>
    <w:rsid w:val="00745C17"/>
    <w:rsid w:val="0076671A"/>
    <w:rsid w:val="00772915"/>
    <w:rsid w:val="00776BFB"/>
    <w:rsid w:val="00777D58"/>
    <w:rsid w:val="007978A3"/>
    <w:rsid w:val="007A0BC1"/>
    <w:rsid w:val="007B09B2"/>
    <w:rsid w:val="007B1909"/>
    <w:rsid w:val="007D3A27"/>
    <w:rsid w:val="008025B9"/>
    <w:rsid w:val="00843D6F"/>
    <w:rsid w:val="008B668C"/>
    <w:rsid w:val="008C40D3"/>
    <w:rsid w:val="00926234"/>
    <w:rsid w:val="00930415"/>
    <w:rsid w:val="009B0E16"/>
    <w:rsid w:val="009F0976"/>
    <w:rsid w:val="00A141A0"/>
    <w:rsid w:val="00A21899"/>
    <w:rsid w:val="00A37E1D"/>
    <w:rsid w:val="00A43F6D"/>
    <w:rsid w:val="00A66004"/>
    <w:rsid w:val="00A67C6C"/>
    <w:rsid w:val="00A9171E"/>
    <w:rsid w:val="00B10B72"/>
    <w:rsid w:val="00B4574B"/>
    <w:rsid w:val="00B94157"/>
    <w:rsid w:val="00B9691A"/>
    <w:rsid w:val="00BC0FE5"/>
    <w:rsid w:val="00BD0DD4"/>
    <w:rsid w:val="00C0211C"/>
    <w:rsid w:val="00C163F6"/>
    <w:rsid w:val="00C2695D"/>
    <w:rsid w:val="00C7258C"/>
    <w:rsid w:val="00C93FA5"/>
    <w:rsid w:val="00CA7441"/>
    <w:rsid w:val="00CC499C"/>
    <w:rsid w:val="00CC7ACB"/>
    <w:rsid w:val="00CE2383"/>
    <w:rsid w:val="00D05FD8"/>
    <w:rsid w:val="00D2474C"/>
    <w:rsid w:val="00D4232C"/>
    <w:rsid w:val="00D54737"/>
    <w:rsid w:val="00D7212D"/>
    <w:rsid w:val="00D72CBB"/>
    <w:rsid w:val="00D7359E"/>
    <w:rsid w:val="00D83D9D"/>
    <w:rsid w:val="00E14B35"/>
    <w:rsid w:val="00E24D2B"/>
    <w:rsid w:val="00E2547C"/>
    <w:rsid w:val="00E40A97"/>
    <w:rsid w:val="00E40CDE"/>
    <w:rsid w:val="00E70977"/>
    <w:rsid w:val="00E92549"/>
    <w:rsid w:val="00EA14B2"/>
    <w:rsid w:val="00EA365F"/>
    <w:rsid w:val="00EB7798"/>
    <w:rsid w:val="00EC7535"/>
    <w:rsid w:val="00EF49AB"/>
    <w:rsid w:val="00F63E29"/>
    <w:rsid w:val="00FC2AC8"/>
    <w:rsid w:val="00FF402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EF2"/>
  <w15:docId w15:val="{CE7134CC-53DD-4538-A515-A984255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EA14B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EA14B2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ato">
    <w:name w:val="ato"/>
    <w:basedOn w:val="Normal"/>
    <w:rsid w:val="00052F87"/>
    <w:pPr>
      <w:keepNext/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paragrafo-2">
    <w:name w:val="paragrafo-2"/>
    <w:basedOn w:val="Normal"/>
    <w:rsid w:val="008025B9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F6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Forte">
    <w:name w:val="Strong"/>
    <w:basedOn w:val="Fontepargpadro"/>
    <w:uiPriority w:val="22"/>
    <w:qFormat/>
    <w:rsid w:val="00A6600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C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C7"/>
    <w:rPr>
      <w:rFonts w:ascii="Calibri" w:eastAsia="Calibri" w:hAnsi="Calibri" w:cs="Calibri"/>
      <w:color w:val="000000"/>
    </w:rPr>
  </w:style>
  <w:style w:type="paragraph" w:customStyle="1" w:styleId="dou-paragraph">
    <w:name w:val="dou-paragraph"/>
    <w:basedOn w:val="Normal"/>
    <w:rsid w:val="0074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A14B2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EA14B2"/>
    <w:rPr>
      <w:rFonts w:ascii="Arial" w:eastAsia="Times New Roman" w:hAnsi="Arial" w:cs="Times New Roman"/>
      <w:sz w:val="24"/>
      <w:szCs w:val="20"/>
    </w:rPr>
  </w:style>
  <w:style w:type="character" w:customStyle="1" w:styleId="fontenegrito">
    <w:name w:val="fontenegrito"/>
    <w:basedOn w:val="Fontepargpadro"/>
    <w:rsid w:val="00EA14B2"/>
  </w:style>
  <w:style w:type="character" w:customStyle="1" w:styleId="fontesite">
    <w:name w:val="fontesite"/>
    <w:basedOn w:val="Fontepargpadro"/>
    <w:rsid w:val="00EA14B2"/>
  </w:style>
  <w:style w:type="paragraph" w:customStyle="1" w:styleId="textojustificadorecuoprimeiralinha">
    <w:name w:val="texto_justificado_recuo_primeira_linha"/>
    <w:basedOn w:val="Normal"/>
    <w:rsid w:val="0007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2455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13:30 às 14:15</vt:lpstr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13:30 às 14:15</dc:title>
  <dc:subject/>
  <dc:creator>getulio</dc:creator>
  <cp:keywords/>
  <cp:lastModifiedBy>Roberta Bastos Cunha Nunes</cp:lastModifiedBy>
  <cp:revision>3</cp:revision>
  <cp:lastPrinted>2021-03-18T16:51:00Z</cp:lastPrinted>
  <dcterms:created xsi:type="dcterms:W3CDTF">2021-10-25T19:55:00Z</dcterms:created>
  <dcterms:modified xsi:type="dcterms:W3CDTF">2021-10-26T18:03:00Z</dcterms:modified>
</cp:coreProperties>
</file>