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708B" w14:textId="77777777" w:rsidR="006D20BE" w:rsidRPr="00120366" w:rsidRDefault="0076671A">
      <w:pPr>
        <w:spacing w:after="0"/>
        <w:ind w:left="748"/>
        <w:jc w:val="center"/>
        <w:rPr>
          <w:color w:val="auto"/>
        </w:rPr>
      </w:pPr>
      <w:r w:rsidRPr="00120366">
        <w:rPr>
          <w:noProof/>
          <w:color w:val="auto"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3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309356D" w14:textId="77777777" w:rsidR="006D20BE" w:rsidRPr="00120366" w:rsidRDefault="0076671A">
      <w:pPr>
        <w:spacing w:after="0"/>
        <w:ind w:left="657"/>
        <w:jc w:val="center"/>
        <w:rPr>
          <w:color w:val="auto"/>
        </w:rPr>
      </w:pP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SECRETARIA DE AUDITORIA INTERNA </w:t>
      </w:r>
    </w:p>
    <w:p w14:paraId="03536188" w14:textId="77777777" w:rsidR="006D20BE" w:rsidRPr="00120366" w:rsidRDefault="0076671A">
      <w:pPr>
        <w:spacing w:after="0"/>
        <w:jc w:val="right"/>
        <w:rPr>
          <w:color w:val="auto"/>
        </w:rPr>
      </w:pP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COMITÊ TÉCNICO DE </w:t>
      </w:r>
      <w:r w:rsidR="00A141A0" w:rsidRPr="00120366">
        <w:rPr>
          <w:rFonts w:ascii="Times New Roman" w:eastAsia="Times New Roman" w:hAnsi="Times New Roman" w:cs="Times New Roman"/>
          <w:b/>
          <w:color w:val="auto"/>
        </w:rPr>
        <w:t>AUDITORIA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 INTERN</w:t>
      </w:r>
      <w:r w:rsidR="00A141A0" w:rsidRPr="00120366">
        <w:rPr>
          <w:rFonts w:ascii="Times New Roman" w:eastAsia="Times New Roman" w:hAnsi="Times New Roman" w:cs="Times New Roman"/>
          <w:b/>
          <w:color w:val="auto"/>
        </w:rPr>
        <w:t>A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 DA JUSTIÇA FEDERAL – CT</w:t>
      </w:r>
      <w:r w:rsidR="00A141A0" w:rsidRPr="00120366">
        <w:rPr>
          <w:rFonts w:ascii="Times New Roman" w:eastAsia="Times New Roman" w:hAnsi="Times New Roman" w:cs="Times New Roman"/>
          <w:b/>
          <w:color w:val="auto"/>
        </w:rPr>
        <w:t>A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I-JF </w:t>
      </w:r>
    </w:p>
    <w:p w14:paraId="30D14419" w14:textId="77777777" w:rsidR="006D20BE" w:rsidRPr="00120366" w:rsidRDefault="0076671A">
      <w:pPr>
        <w:spacing w:after="0"/>
        <w:rPr>
          <w:color w:val="auto"/>
        </w:rPr>
      </w:pPr>
      <w:r w:rsidRPr="00120366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72E3492" w14:textId="27679226" w:rsidR="006D20BE" w:rsidRPr="00120366" w:rsidRDefault="0076671A">
      <w:pPr>
        <w:spacing w:after="0"/>
        <w:ind w:left="-5" w:hanging="10"/>
        <w:rPr>
          <w:color w:val="auto"/>
        </w:rPr>
      </w:pP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ATA DA </w:t>
      </w:r>
      <w:r w:rsidR="00E14B35" w:rsidRPr="00120366">
        <w:rPr>
          <w:rFonts w:ascii="Times New Roman" w:eastAsia="Times New Roman" w:hAnsi="Times New Roman" w:cs="Times New Roman"/>
          <w:b/>
          <w:color w:val="auto"/>
        </w:rPr>
        <w:t>1</w:t>
      </w:r>
      <w:r w:rsidR="00E54D8D" w:rsidRPr="00120366">
        <w:rPr>
          <w:rFonts w:ascii="Times New Roman" w:eastAsia="Times New Roman" w:hAnsi="Times New Roman" w:cs="Times New Roman"/>
          <w:b/>
          <w:color w:val="auto"/>
        </w:rPr>
        <w:t>3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ª REUNIÃO </w:t>
      </w:r>
      <w:r w:rsidR="00A141A0" w:rsidRPr="00120366">
        <w:rPr>
          <w:rFonts w:ascii="Times New Roman" w:eastAsia="Times New Roman" w:hAnsi="Times New Roman" w:cs="Times New Roman"/>
          <w:b/>
          <w:color w:val="auto"/>
        </w:rPr>
        <w:t xml:space="preserve">ORDINÁRIA </w:t>
      </w:r>
      <w:r w:rsidRPr="00120366">
        <w:rPr>
          <w:rFonts w:ascii="Times New Roman" w:eastAsia="Times New Roman" w:hAnsi="Times New Roman" w:cs="Times New Roman"/>
          <w:b/>
          <w:color w:val="auto"/>
        </w:rPr>
        <w:t>DO CT</w:t>
      </w:r>
      <w:r w:rsidR="00A141A0" w:rsidRPr="00120366">
        <w:rPr>
          <w:rFonts w:ascii="Times New Roman" w:eastAsia="Times New Roman" w:hAnsi="Times New Roman" w:cs="Times New Roman"/>
          <w:b/>
          <w:color w:val="auto"/>
        </w:rPr>
        <w:t>A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I-JF </w:t>
      </w:r>
    </w:p>
    <w:p w14:paraId="72A3AC70" w14:textId="1448AD55" w:rsidR="006D20BE" w:rsidRPr="00120366" w:rsidRDefault="0076671A">
      <w:pPr>
        <w:tabs>
          <w:tab w:val="center" w:pos="1952"/>
        </w:tabs>
        <w:spacing w:after="0"/>
        <w:ind w:left="-15"/>
        <w:rPr>
          <w:color w:val="auto"/>
        </w:rPr>
      </w:pPr>
      <w:proofErr w:type="gramStart"/>
      <w:r w:rsidRPr="00120366">
        <w:rPr>
          <w:rFonts w:ascii="Times New Roman" w:eastAsia="Times New Roman" w:hAnsi="Times New Roman" w:cs="Times New Roman"/>
          <w:b/>
          <w:color w:val="auto"/>
        </w:rPr>
        <w:t xml:space="preserve">DATA  </w:t>
      </w:r>
      <w:r w:rsidRPr="00120366">
        <w:rPr>
          <w:rFonts w:ascii="Times New Roman" w:eastAsia="Times New Roman" w:hAnsi="Times New Roman" w:cs="Times New Roman"/>
          <w:b/>
          <w:color w:val="auto"/>
        </w:rPr>
        <w:tab/>
      </w:r>
      <w:proofErr w:type="gramEnd"/>
      <w:r w:rsidRPr="00120366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E54D8D" w:rsidRPr="00120366">
        <w:rPr>
          <w:rFonts w:ascii="Times New Roman" w:eastAsia="Times New Roman" w:hAnsi="Times New Roman" w:cs="Times New Roman"/>
          <w:b/>
          <w:color w:val="auto"/>
        </w:rPr>
        <w:t>2</w:t>
      </w:r>
      <w:r w:rsidR="00DF09D8" w:rsidRPr="00120366">
        <w:rPr>
          <w:rFonts w:ascii="Times New Roman" w:eastAsia="Times New Roman" w:hAnsi="Times New Roman" w:cs="Times New Roman"/>
          <w:b/>
          <w:color w:val="auto"/>
        </w:rPr>
        <w:t>6</w:t>
      </w:r>
      <w:r w:rsidR="00930415" w:rsidRPr="00120366">
        <w:rPr>
          <w:rFonts w:ascii="Times New Roman" w:eastAsia="Times New Roman" w:hAnsi="Times New Roman" w:cs="Times New Roman"/>
          <w:b/>
          <w:color w:val="auto"/>
        </w:rPr>
        <w:t>/</w:t>
      </w:r>
      <w:r w:rsidR="00D63499" w:rsidRPr="00120366">
        <w:rPr>
          <w:rFonts w:ascii="Times New Roman" w:eastAsia="Times New Roman" w:hAnsi="Times New Roman" w:cs="Times New Roman"/>
          <w:b/>
          <w:color w:val="auto"/>
        </w:rPr>
        <w:t>04</w:t>
      </w:r>
      <w:r w:rsidRPr="00120366">
        <w:rPr>
          <w:rFonts w:ascii="Times New Roman" w:eastAsia="Times New Roman" w:hAnsi="Times New Roman" w:cs="Times New Roman"/>
          <w:b/>
          <w:color w:val="auto"/>
        </w:rPr>
        <w:t>/202</w:t>
      </w:r>
      <w:r w:rsidR="00D63499" w:rsidRPr="00120366">
        <w:rPr>
          <w:rFonts w:ascii="Times New Roman" w:eastAsia="Times New Roman" w:hAnsi="Times New Roman" w:cs="Times New Roman"/>
          <w:b/>
          <w:color w:val="auto"/>
        </w:rPr>
        <w:t>2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0C1B3801" w14:textId="77777777" w:rsidR="006D20BE" w:rsidRPr="00120366" w:rsidRDefault="0076671A">
      <w:pPr>
        <w:tabs>
          <w:tab w:val="center" w:pos="2711"/>
        </w:tabs>
        <w:spacing w:after="0"/>
        <w:ind w:left="-15"/>
        <w:rPr>
          <w:color w:val="auto"/>
        </w:rPr>
      </w:pP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LOCAL </w:t>
      </w:r>
      <w:r w:rsidRPr="00120366">
        <w:rPr>
          <w:rFonts w:ascii="Times New Roman" w:eastAsia="Times New Roman" w:hAnsi="Times New Roman" w:cs="Times New Roman"/>
          <w:b/>
          <w:color w:val="auto"/>
        </w:rPr>
        <w:tab/>
        <w:t xml:space="preserve">: PLATAFORMA TEAMS </w:t>
      </w:r>
    </w:p>
    <w:p w14:paraId="0B4046D3" w14:textId="64B98069" w:rsidR="006D20BE" w:rsidRPr="00120366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  <w:color w:val="auto"/>
        </w:rPr>
      </w:pP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HORÁRIO </w:t>
      </w:r>
      <w:r w:rsidRPr="00120366">
        <w:rPr>
          <w:rFonts w:ascii="Times New Roman" w:eastAsia="Times New Roman" w:hAnsi="Times New Roman" w:cs="Times New Roman"/>
          <w:b/>
          <w:color w:val="auto"/>
        </w:rPr>
        <w:tab/>
        <w:t>: 1</w:t>
      </w:r>
      <w:r w:rsidR="00D63499" w:rsidRPr="00120366">
        <w:rPr>
          <w:rFonts w:ascii="Times New Roman" w:eastAsia="Times New Roman" w:hAnsi="Times New Roman" w:cs="Times New Roman"/>
          <w:b/>
          <w:color w:val="auto"/>
        </w:rPr>
        <w:t>4</w:t>
      </w:r>
      <w:r w:rsidR="00701F68" w:rsidRPr="00120366">
        <w:rPr>
          <w:rFonts w:ascii="Times New Roman" w:eastAsia="Times New Roman" w:hAnsi="Times New Roman" w:cs="Times New Roman"/>
          <w:b/>
          <w:color w:val="auto"/>
        </w:rPr>
        <w:t>h</w:t>
      </w:r>
      <w:r w:rsidR="00D63499" w:rsidRPr="00120366">
        <w:rPr>
          <w:rFonts w:ascii="Times New Roman" w:eastAsia="Times New Roman" w:hAnsi="Times New Roman" w:cs="Times New Roman"/>
          <w:b/>
          <w:color w:val="auto"/>
        </w:rPr>
        <w:t>30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 às 1</w:t>
      </w:r>
      <w:r w:rsidR="00D2474C" w:rsidRPr="00120366">
        <w:rPr>
          <w:rFonts w:ascii="Times New Roman" w:eastAsia="Times New Roman" w:hAnsi="Times New Roman" w:cs="Times New Roman"/>
          <w:b/>
          <w:color w:val="auto"/>
        </w:rPr>
        <w:t>8h</w:t>
      </w:r>
      <w:r w:rsidR="00E54D8D" w:rsidRPr="00120366">
        <w:rPr>
          <w:rFonts w:ascii="Times New Roman" w:eastAsia="Times New Roman" w:hAnsi="Times New Roman" w:cs="Times New Roman"/>
          <w:b/>
          <w:color w:val="auto"/>
        </w:rPr>
        <w:t>30</w:t>
      </w:r>
      <w:r w:rsidRPr="00120366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613FA2D9" w14:textId="77777777" w:rsidR="001D1074" w:rsidRPr="00120366" w:rsidRDefault="001D1074" w:rsidP="001D107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14:paraId="615739F1" w14:textId="77777777" w:rsidR="001D1074" w:rsidRPr="00120366" w:rsidRDefault="001D1074" w:rsidP="001D107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A56CDF5" w14:textId="0A610455" w:rsidR="001D1074" w:rsidRPr="00120366" w:rsidRDefault="001D1074" w:rsidP="001D107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b/>
          <w:color w:val="auto"/>
          <w:sz w:val="24"/>
          <w:szCs w:val="24"/>
        </w:rPr>
        <w:t>Eva Maria Ferreira Barros</w:t>
      </w:r>
    </w:p>
    <w:p w14:paraId="1F281010" w14:textId="46EFD55E" w:rsidR="001D1074" w:rsidRPr="00120366" w:rsidRDefault="001D1074" w:rsidP="001D107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color w:val="auto"/>
          <w:sz w:val="24"/>
          <w:szCs w:val="24"/>
        </w:rPr>
        <w:t>Secretária de Auditoria Interna</w:t>
      </w:r>
    </w:p>
    <w:p w14:paraId="5EFD0A68" w14:textId="77777777" w:rsidR="001D1074" w:rsidRPr="00120366" w:rsidRDefault="001D1074" w:rsidP="001D107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14:paraId="2C851465" w14:textId="77777777" w:rsidR="001D1074" w:rsidRPr="00120366" w:rsidRDefault="001D1074" w:rsidP="001D107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14:paraId="086C2DA7" w14:textId="77777777" w:rsidR="001D1074" w:rsidRPr="00120366" w:rsidRDefault="001D1074" w:rsidP="001D1074">
      <w:pPr>
        <w:spacing w:after="0"/>
        <w:rPr>
          <w:color w:val="auto"/>
        </w:rPr>
      </w:pPr>
    </w:p>
    <w:p w14:paraId="05277673" w14:textId="77777777" w:rsidR="001D1074" w:rsidRPr="00120366" w:rsidRDefault="001D1074" w:rsidP="001D1074">
      <w:pPr>
        <w:pStyle w:val="Ttulo3"/>
        <w:rPr>
          <w:rFonts w:ascii="Times New Roman" w:hAnsi="Times New Roman"/>
          <w:b/>
          <w:szCs w:val="24"/>
        </w:rPr>
      </w:pPr>
      <w:r w:rsidRPr="00120366">
        <w:rPr>
          <w:rFonts w:ascii="Times New Roman" w:hAnsi="Times New Roman"/>
          <w:b/>
          <w:szCs w:val="24"/>
        </w:rPr>
        <w:t>Marília André da Silva Meneses Graça</w:t>
      </w:r>
    </w:p>
    <w:p w14:paraId="1E9F6336" w14:textId="19D2ECDD" w:rsidR="001D1074" w:rsidRPr="00120366" w:rsidRDefault="001D1074" w:rsidP="001D1074">
      <w:pPr>
        <w:pStyle w:val="Ttulo3"/>
        <w:rPr>
          <w:rFonts w:ascii="Times New Roman" w:hAnsi="Times New Roman"/>
          <w:b/>
          <w:bCs/>
          <w:szCs w:val="24"/>
        </w:rPr>
      </w:pPr>
      <w:r w:rsidRPr="00120366">
        <w:rPr>
          <w:rFonts w:ascii="Times New Roman" w:hAnsi="Times New Roman"/>
          <w:szCs w:val="24"/>
        </w:rPr>
        <w:t>Diretora da Secretaria de Auditoria Interna</w:t>
      </w:r>
    </w:p>
    <w:p w14:paraId="63ADCB28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14:paraId="1D57B4BF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8BDB67D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5A115944" w14:textId="604B05BF" w:rsidR="001D1074" w:rsidRPr="00120366" w:rsidRDefault="001D1074" w:rsidP="001D1074">
      <w:pPr>
        <w:spacing w:after="0" w:line="240" w:lineRule="auto"/>
        <w:outlineLvl w:val="4"/>
        <w:rPr>
          <w:rFonts w:ascii="Times New Roman" w:hAnsi="Times New Roman"/>
          <w:b/>
          <w:color w:val="auto"/>
          <w:sz w:val="24"/>
          <w:szCs w:val="24"/>
        </w:rPr>
      </w:pPr>
      <w:r w:rsidRPr="00120366">
        <w:rPr>
          <w:rFonts w:ascii="Times New Roman" w:hAnsi="Times New Roman"/>
          <w:b/>
          <w:color w:val="auto"/>
          <w:sz w:val="24"/>
          <w:szCs w:val="24"/>
        </w:rPr>
        <w:t>Márcio Cabral</w:t>
      </w:r>
    </w:p>
    <w:p w14:paraId="1B4D37F1" w14:textId="0ACF9EF2" w:rsidR="001D1074" w:rsidRPr="00120366" w:rsidRDefault="001D1074" w:rsidP="001D1074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 w:rsidRPr="00120366"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Interna, em exercício </w:t>
      </w:r>
    </w:p>
    <w:p w14:paraId="7C67E4E6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14:paraId="38C54F48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47F3D39" w14:textId="77777777" w:rsidR="001D1074" w:rsidRPr="00120366" w:rsidRDefault="001D1074" w:rsidP="001D1074">
      <w:pPr>
        <w:pStyle w:val="Ttulo2"/>
        <w:textAlignment w:val="baseline"/>
        <w:rPr>
          <w:rFonts w:ascii="Times New Roman" w:hAnsi="Times New Roman"/>
          <w:bCs/>
          <w:szCs w:val="24"/>
        </w:rPr>
      </w:pPr>
    </w:p>
    <w:p w14:paraId="205C72CD" w14:textId="77777777" w:rsidR="001D1074" w:rsidRPr="00120366" w:rsidRDefault="001D1074" w:rsidP="001D1074">
      <w:pPr>
        <w:pStyle w:val="Ttulo3"/>
        <w:rPr>
          <w:rFonts w:ascii="Times New Roman" w:hAnsi="Times New Roman"/>
          <w:b/>
          <w:szCs w:val="24"/>
        </w:rPr>
      </w:pPr>
      <w:r w:rsidRPr="00120366">
        <w:rPr>
          <w:rFonts w:ascii="Times New Roman" w:hAnsi="Times New Roman"/>
          <w:b/>
          <w:szCs w:val="24"/>
        </w:rPr>
        <w:t xml:space="preserve">Patrícia Ribeiro </w:t>
      </w:r>
    </w:p>
    <w:p w14:paraId="15ACD3B4" w14:textId="77777777" w:rsidR="001D1074" w:rsidRPr="00120366" w:rsidRDefault="001D1074" w:rsidP="001D1074">
      <w:pPr>
        <w:spacing w:after="0" w:line="240" w:lineRule="auto"/>
        <w:rPr>
          <w:rStyle w:val="fontenegrito"/>
          <w:color w:val="auto"/>
        </w:rPr>
      </w:pPr>
      <w:r w:rsidRPr="00120366"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14:paraId="224260D5" w14:textId="77777777" w:rsidR="001D1074" w:rsidRPr="00120366" w:rsidRDefault="001D1074" w:rsidP="001D1074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14:paraId="678986F2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20ADB44" w14:textId="77777777" w:rsidR="001D1074" w:rsidRPr="00120366" w:rsidRDefault="001D1074" w:rsidP="001D1074">
      <w:pPr>
        <w:pStyle w:val="Ttulo3"/>
        <w:rPr>
          <w:rStyle w:val="fontesite"/>
        </w:rPr>
      </w:pPr>
    </w:p>
    <w:p w14:paraId="158A8205" w14:textId="77777777" w:rsidR="001D1074" w:rsidRPr="00120366" w:rsidRDefault="001D1074" w:rsidP="001D1074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120366">
        <w:rPr>
          <w:rStyle w:val="fontesite"/>
          <w:rFonts w:ascii="Times New Roman" w:hAnsi="Times New Roman"/>
          <w:b/>
          <w:szCs w:val="24"/>
        </w:rPr>
        <w:t>Wolfgang Striebel</w:t>
      </w:r>
    </w:p>
    <w:p w14:paraId="7DAAA3C6" w14:textId="77777777" w:rsidR="001D1074" w:rsidRPr="00120366" w:rsidRDefault="001D1074" w:rsidP="001D1074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14:paraId="1659D858" w14:textId="77777777" w:rsidR="001D1074" w:rsidRPr="00120366" w:rsidRDefault="001D1074" w:rsidP="001D1074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14:paraId="0FCD73B9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7DD4C2F" w14:textId="77777777" w:rsidR="001D1074" w:rsidRPr="00120366" w:rsidRDefault="001D1074" w:rsidP="001D1074">
      <w:pPr>
        <w:pStyle w:val="Ttulo3"/>
        <w:rPr>
          <w:rFonts w:ascii="Times New Roman" w:hAnsi="Times New Roman"/>
          <w:szCs w:val="24"/>
        </w:rPr>
      </w:pPr>
    </w:p>
    <w:p w14:paraId="5FC087F4" w14:textId="77777777" w:rsidR="001D1074" w:rsidRPr="00120366" w:rsidRDefault="001D1074" w:rsidP="001D1074">
      <w:pPr>
        <w:pStyle w:val="Ttulo3"/>
        <w:rPr>
          <w:rFonts w:ascii="Times New Roman" w:hAnsi="Times New Roman"/>
          <w:szCs w:val="24"/>
        </w:rPr>
      </w:pPr>
      <w:r w:rsidRPr="00120366">
        <w:rPr>
          <w:rFonts w:ascii="Times New Roman" w:hAnsi="Times New Roman"/>
          <w:b/>
          <w:szCs w:val="24"/>
        </w:rPr>
        <w:t>Sídia Maria Porto Lima</w:t>
      </w:r>
    </w:p>
    <w:p w14:paraId="782C9685" w14:textId="77777777" w:rsidR="001D1074" w:rsidRPr="00120366" w:rsidRDefault="001D1074" w:rsidP="001D1074">
      <w:pPr>
        <w:pStyle w:val="Ttulo3"/>
        <w:rPr>
          <w:rStyle w:val="fontesite"/>
        </w:rPr>
      </w:pPr>
      <w:r w:rsidRPr="00120366">
        <w:rPr>
          <w:rStyle w:val="fontesite"/>
          <w:rFonts w:ascii="Times New Roman" w:hAnsi="Times New Roman"/>
          <w:szCs w:val="24"/>
        </w:rPr>
        <w:t>Diretora da Subsecretaria de Auditoria Interna</w:t>
      </w:r>
    </w:p>
    <w:p w14:paraId="61976852" w14:textId="77777777" w:rsidR="001D1074" w:rsidRPr="00120366" w:rsidRDefault="001D1074" w:rsidP="001D1074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14:paraId="088A034F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35000BC7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DD0A463" w14:textId="77777777" w:rsidR="001D1074" w:rsidRPr="00120366" w:rsidRDefault="001D1074" w:rsidP="001D1074">
      <w:pPr>
        <w:pStyle w:val="Ttulo3"/>
        <w:rPr>
          <w:rStyle w:val="fontesite"/>
          <w:b/>
          <w:bCs/>
        </w:rPr>
      </w:pPr>
      <w:r w:rsidRPr="00120366">
        <w:rPr>
          <w:rStyle w:val="fontesite"/>
          <w:rFonts w:ascii="Times New Roman" w:hAnsi="Times New Roman"/>
          <w:b/>
          <w:bCs/>
          <w:szCs w:val="24"/>
        </w:rPr>
        <w:t>Fábio Trevisan</w:t>
      </w:r>
    </w:p>
    <w:p w14:paraId="283F54AA" w14:textId="77777777" w:rsidR="001D1074" w:rsidRPr="00120366" w:rsidRDefault="001D1074" w:rsidP="001D1074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>Diretor do Núcleo de Auditoria Interna</w:t>
      </w:r>
    </w:p>
    <w:p w14:paraId="209FCA69" w14:textId="77777777" w:rsidR="001D1074" w:rsidRPr="00120366" w:rsidRDefault="001D1074" w:rsidP="001D1074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Seção Judiciária do Espírito Santo</w:t>
      </w:r>
    </w:p>
    <w:p w14:paraId="2D24F104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7D3EFC3E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45FD5E6" w14:textId="77777777" w:rsidR="001D1074" w:rsidRPr="00120366" w:rsidRDefault="001D1074" w:rsidP="001D1074">
      <w:pPr>
        <w:pStyle w:val="Ttulo3"/>
        <w:rPr>
          <w:rStyle w:val="fontesite"/>
          <w:b/>
        </w:rPr>
      </w:pPr>
      <w:r w:rsidRPr="00120366">
        <w:rPr>
          <w:rStyle w:val="fontesite"/>
          <w:rFonts w:ascii="Times New Roman" w:hAnsi="Times New Roman"/>
          <w:b/>
          <w:szCs w:val="24"/>
        </w:rPr>
        <w:t xml:space="preserve">Rita de Cássia </w:t>
      </w:r>
      <w:proofErr w:type="spellStart"/>
      <w:r w:rsidRPr="00120366">
        <w:rPr>
          <w:rStyle w:val="fontesite"/>
          <w:rFonts w:ascii="Times New Roman" w:hAnsi="Times New Roman"/>
          <w:b/>
          <w:szCs w:val="24"/>
        </w:rPr>
        <w:t>Sapia</w:t>
      </w:r>
      <w:proofErr w:type="spellEnd"/>
      <w:r w:rsidRPr="00120366">
        <w:rPr>
          <w:rStyle w:val="fontesite"/>
          <w:rFonts w:ascii="Times New Roman" w:hAnsi="Times New Roman"/>
          <w:b/>
          <w:szCs w:val="24"/>
        </w:rPr>
        <w:t xml:space="preserve"> Alves da Cruz</w:t>
      </w:r>
    </w:p>
    <w:p w14:paraId="1B9DD0AB" w14:textId="77777777" w:rsidR="001D1074" w:rsidRPr="00120366" w:rsidRDefault="001D1074" w:rsidP="001D1074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>Diretora do Núcleo de Auditoria Interna</w:t>
      </w:r>
    </w:p>
    <w:p w14:paraId="105AEA32" w14:textId="77777777" w:rsidR="001D1074" w:rsidRPr="00120366" w:rsidRDefault="001D1074" w:rsidP="001D1074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14:paraId="0AD72AE0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7B949B61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F19C76F" w14:textId="77777777" w:rsidR="001D1074" w:rsidRPr="00120366" w:rsidRDefault="001D1074" w:rsidP="001D1074">
      <w:pPr>
        <w:pStyle w:val="Ttulo3"/>
        <w:rPr>
          <w:rStyle w:val="fontesite"/>
          <w:b/>
        </w:rPr>
      </w:pPr>
      <w:r w:rsidRPr="00120366">
        <w:rPr>
          <w:rStyle w:val="fontesite"/>
          <w:rFonts w:ascii="Times New Roman" w:hAnsi="Times New Roman"/>
          <w:b/>
          <w:szCs w:val="24"/>
        </w:rPr>
        <w:t xml:space="preserve">Denise de Fátima </w:t>
      </w:r>
      <w:proofErr w:type="spellStart"/>
      <w:r w:rsidRPr="00120366">
        <w:rPr>
          <w:rStyle w:val="fontesite"/>
          <w:rFonts w:ascii="Times New Roman" w:hAnsi="Times New Roman"/>
          <w:b/>
          <w:szCs w:val="24"/>
        </w:rPr>
        <w:t>Meskau</w:t>
      </w:r>
      <w:proofErr w:type="spellEnd"/>
    </w:p>
    <w:p w14:paraId="6B04B614" w14:textId="77777777" w:rsidR="001D1074" w:rsidRPr="00120366" w:rsidRDefault="001D1074" w:rsidP="001D1074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 xml:space="preserve">Diretora do Núcleo de Auditoria Interna </w:t>
      </w:r>
    </w:p>
    <w:p w14:paraId="2ECA056B" w14:textId="77777777" w:rsidR="001D1074" w:rsidRPr="00120366" w:rsidRDefault="001D1074" w:rsidP="001D1074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Seção Judiciária do Paraná</w:t>
      </w:r>
    </w:p>
    <w:p w14:paraId="173E9FEF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88A40EE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E9D1A3" w14:textId="77777777" w:rsidR="001D1074" w:rsidRPr="00120366" w:rsidRDefault="001D1074" w:rsidP="001D1074">
      <w:pPr>
        <w:pStyle w:val="Ttulo3"/>
        <w:rPr>
          <w:rStyle w:val="fontesite"/>
          <w:b/>
        </w:rPr>
      </w:pPr>
      <w:r w:rsidRPr="00120366">
        <w:rPr>
          <w:rStyle w:val="fontesite"/>
          <w:rFonts w:ascii="Times New Roman" w:hAnsi="Times New Roman"/>
          <w:b/>
          <w:szCs w:val="24"/>
        </w:rPr>
        <w:t>Frederico de Andrade Aquino</w:t>
      </w:r>
    </w:p>
    <w:p w14:paraId="071C38A1" w14:textId="77777777" w:rsidR="001D1074" w:rsidRPr="00120366" w:rsidRDefault="001D1074" w:rsidP="001D1074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>Supervisor da Seção de Auditoria Interna</w:t>
      </w:r>
    </w:p>
    <w:p w14:paraId="60B526DE" w14:textId="77777777" w:rsidR="001D1074" w:rsidRPr="00120366" w:rsidRDefault="001D1074" w:rsidP="001D1074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Seção Judiciária do Ceará</w:t>
      </w:r>
    </w:p>
    <w:p w14:paraId="20A0FD33" w14:textId="77777777" w:rsidR="001D1074" w:rsidRPr="00120366" w:rsidRDefault="001D1074" w:rsidP="001D10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B1E4C3E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470B8F1B" w14:textId="120E1492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bCs/>
          <w:color w:val="auto"/>
          <w:sz w:val="24"/>
          <w:szCs w:val="24"/>
        </w:rPr>
        <w:t>Angelita da Mota Ayres Rodrigues</w:t>
      </w:r>
    </w:p>
    <w:p w14:paraId="4137E58D" w14:textId="36A7E300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Subsecretária de Auditoria de Governança e de Gestão</w:t>
      </w:r>
    </w:p>
    <w:p w14:paraId="61BC4D3E" w14:textId="7B6227B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7F9A9475" w14:textId="21CDCC39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744C05B5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45FC1A3" w14:textId="148C7DB0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 xml:space="preserve">Roberto </w:t>
      </w:r>
      <w:proofErr w:type="spellStart"/>
      <w:r w:rsidRPr="00120366">
        <w:rPr>
          <w:rFonts w:ascii="Times New Roman" w:hAnsi="Times New Roman"/>
          <w:b/>
          <w:color w:val="auto"/>
          <w:sz w:val="24"/>
          <w:szCs w:val="24"/>
        </w:rPr>
        <w:t>Junio</w:t>
      </w:r>
      <w:proofErr w:type="spellEnd"/>
      <w:r w:rsidRPr="00120366">
        <w:rPr>
          <w:rFonts w:ascii="Times New Roman" w:hAnsi="Times New Roman"/>
          <w:b/>
          <w:color w:val="auto"/>
          <w:sz w:val="24"/>
          <w:szCs w:val="24"/>
        </w:rPr>
        <w:t xml:space="preserve"> dos Santos Moreira</w:t>
      </w:r>
    </w:p>
    <w:p w14:paraId="58945F42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Subsecretário de Auditoria de Licitações, Contratos e de Pessoal</w:t>
      </w:r>
    </w:p>
    <w:p w14:paraId="4F174709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4B0CF8DD" w14:textId="77777777" w:rsidR="001D1074" w:rsidRPr="00120366" w:rsidRDefault="001D1074" w:rsidP="001D1074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4BB412E5" w14:textId="77777777" w:rsidR="001D1074" w:rsidRPr="00120366" w:rsidRDefault="001D1074" w:rsidP="001D1074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45C883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>Roberta Bastos Cunha Nunes</w:t>
      </w:r>
    </w:p>
    <w:p w14:paraId="4E2A23F4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Assessora Técnica</w:t>
      </w:r>
    </w:p>
    <w:p w14:paraId="41B223BA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6A117979" w14:textId="77777777" w:rsidR="001D1074" w:rsidRPr="00120366" w:rsidRDefault="001D1074" w:rsidP="001D1074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3B6E0E2B" w14:textId="77777777" w:rsidR="001D1074" w:rsidRPr="00120366" w:rsidRDefault="001D1074" w:rsidP="001D1074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8226117" w14:textId="77777777" w:rsidR="001D1074" w:rsidRPr="00120366" w:rsidRDefault="001D1074" w:rsidP="001D1074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>Débora Cristina Jardim Vaz</w:t>
      </w:r>
    </w:p>
    <w:p w14:paraId="29F35E30" w14:textId="77777777" w:rsidR="001D1074" w:rsidRPr="00120366" w:rsidRDefault="001D1074" w:rsidP="001D1074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Chefe da Seção de Auditoria de Gestão e de Prestação de Contas</w:t>
      </w:r>
    </w:p>
    <w:p w14:paraId="78711F11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Subsecretaria de Auditoria de Governança e de Gestão</w:t>
      </w:r>
    </w:p>
    <w:p w14:paraId="26C1C1E5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72382543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EFA6895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>Fábio Júnio Dantas</w:t>
      </w:r>
    </w:p>
    <w:p w14:paraId="178B160A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Chefe da Seção de Auditoria de Pessoal</w:t>
      </w:r>
    </w:p>
    <w:p w14:paraId="4DD9457D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Subsecretaria de Auditoria de Licitações, Contratos e de Pessoal</w:t>
      </w:r>
    </w:p>
    <w:p w14:paraId="234BADAB" w14:textId="77777777" w:rsidR="001D1074" w:rsidRPr="00120366" w:rsidRDefault="001D1074" w:rsidP="001D107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29524A1F" w14:textId="77777777" w:rsidR="001D1074" w:rsidRPr="00120366" w:rsidRDefault="001D1074" w:rsidP="001D1074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54F2484C" w14:textId="77777777" w:rsidR="001D1074" w:rsidRPr="00120366" w:rsidRDefault="001D1074" w:rsidP="001D1074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  <w:color w:val="auto"/>
        </w:rPr>
      </w:pPr>
    </w:p>
    <w:p w14:paraId="3B8039E0" w14:textId="77777777" w:rsidR="001D1074" w:rsidRPr="00120366" w:rsidRDefault="001D1074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  <w:color w:val="auto"/>
        </w:rPr>
      </w:pPr>
    </w:p>
    <w:p w14:paraId="3BE9B291" w14:textId="77777777" w:rsidR="000C6BD9" w:rsidRPr="00120366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TableGrid"/>
        <w:tblW w:w="10487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2549"/>
        <w:gridCol w:w="7938"/>
      </w:tblGrid>
      <w:tr w:rsidR="00120366" w:rsidRPr="00120366" w14:paraId="135F2AEE" w14:textId="77777777" w:rsidTr="00A93B2F">
        <w:trPr>
          <w:trHeight w:val="34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A93B2F" w:rsidRPr="00120366" w:rsidRDefault="00A93B2F">
            <w:pPr>
              <w:ind w:left="2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TEMA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7777777" w:rsidR="00A93B2F" w:rsidRPr="00120366" w:rsidRDefault="00A93B2F">
            <w:pPr>
              <w:ind w:right="3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OBJETIVOS </w:t>
            </w:r>
          </w:p>
        </w:tc>
      </w:tr>
      <w:tr w:rsidR="00120366" w:rsidRPr="00120366" w14:paraId="6D93CF23" w14:textId="77777777" w:rsidTr="00A93B2F">
        <w:trPr>
          <w:trHeight w:val="39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A93B2F" w:rsidRPr="00120366" w:rsidRDefault="00A93B2F">
            <w:pPr>
              <w:ind w:left="298"/>
              <w:rPr>
                <w:rFonts w:ascii="Times New Roman" w:hAnsi="Times New Roman" w:cs="Times New Roman"/>
                <w:color w:val="auto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  <w:u w:val="single" w:color="000000"/>
              </w:rPr>
              <w:t>Abertura</w:t>
            </w:r>
            <w:r w:rsidRPr="0012036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57EA" w14:textId="3315F6BD" w:rsidR="00A93B2F" w:rsidRPr="00120366" w:rsidRDefault="00A93B2F" w:rsidP="00AF0CB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AF0CB8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Secretária de Auditoria Interna do CJF deu </w:t>
            </w:r>
            <w:r w:rsidR="0079115F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boas-vindas</w:t>
            </w:r>
            <w:r w:rsidR="00AF0CB8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todos. Antes de abordar os temas da Pauta, informou a todos que a Justiça Federal precisa </w:t>
            </w:r>
            <w:r w:rsidR="00466ECF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indicar candidato ou candidatos para representar </w:t>
            </w:r>
            <w:r w:rsidR="00AF0CB8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os Tribunais Regionais Federais no Comitê do SIAUD-JUD, enfatizando ser mais conveniente que </w:t>
            </w:r>
            <w:r w:rsidR="00466ECF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seja acordad</w:t>
            </w:r>
            <w:r w:rsidR="008025CE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466ECF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indicação de apenas </w:t>
            </w:r>
            <w:r w:rsidR="00AF0CB8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 representante</w:t>
            </w:r>
            <w:r w:rsidR="00D76D3B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F0CB8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representante do TRF1 sugeriu que fosse apresentado o critério de rodízio entre os Tribunais, na sequência numérica, ou seja, como o TRF1 foi o primeiro, o próximo seria o TRF2 e assim sucessivamente.</w:t>
            </w:r>
          </w:p>
          <w:p w14:paraId="5497CD33" w14:textId="21D105A6" w:rsidR="00AD4058" w:rsidRPr="00120366" w:rsidRDefault="00AD4058" w:rsidP="00AF0CB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C47A0C" w14:textId="6E1254DD" w:rsidR="00AF0CB8" w:rsidRPr="00120366" w:rsidRDefault="00D56208" w:rsidP="00D5620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Uma vez que </w:t>
            </w:r>
            <w:r w:rsidR="001D1074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 </w:t>
            </w:r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encontra pendente processo de definição do próximo titular da Unidade de Auditoria Interna do TRF2, decidiu-se, </w:t>
            </w:r>
            <w:r w:rsidR="0079115F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acatando sugestão do TRF</w:t>
            </w:r>
            <w:proofErr w:type="gramStart"/>
            <w:r w:rsidR="0079115F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5, </w:t>
            </w:r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que</w:t>
            </w:r>
            <w:proofErr w:type="gramEnd"/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melhor critério para indicação do próximo representante seria o de sorteio de todos os representantes dos próximos quatro mandatos. Procedeu-se, desse modo, ao sorteio, tendo sido sorteado o representante do TRF4. O próximo </w:t>
            </w:r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representante sorteado, para o mandato seguinte, foi o do TRF2</w:t>
            </w:r>
            <w:r w:rsidR="001D1074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seguinte foi o do TRF5 e, por último, o do TRF</w:t>
            </w:r>
            <w:r w:rsidR="001D1074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F7D786A" w14:textId="77777777" w:rsidR="00D56208" w:rsidRPr="00120366" w:rsidRDefault="00D56208" w:rsidP="00D5620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22B564" w14:textId="660BF31B" w:rsidR="00D56208" w:rsidRPr="00120366" w:rsidRDefault="00C24943" w:rsidP="00D5620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D56208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Secretária de Auditoria Interna do CJF informou a todos que nesta data, pela manhã, foi realizada reunião entre representantes do Comitê do SIAUD-JUD encarregado de elaborar</w:t>
            </w:r>
            <w:r w:rsidR="001D1074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6208" w:rsidRPr="0012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minuta do Manual de Auditoria Interna do CNJ e representantes das Unidades de Auditoria Interna do CJF e do TRF1, ocasião em que foi comunicado o acatamento de quase todas as sugestões apresentadas pelo CTAI à redação do Manual.</w:t>
            </w:r>
          </w:p>
          <w:p w14:paraId="27F745CC" w14:textId="77777777" w:rsidR="00D56208" w:rsidRPr="00120366" w:rsidRDefault="00D56208" w:rsidP="00D5620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1BF0A3" w14:textId="35076E89" w:rsidR="00D56208" w:rsidRPr="00330100" w:rsidRDefault="00D56208" w:rsidP="00D5620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Secretária também comunicou que as proposições de alterações das Resoluções CJF n. </w:t>
            </w:r>
            <w:r w:rsidR="00466ECF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653, </w:t>
            </w:r>
            <w:r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676 e 677 em decorrência do advento</w:t>
            </w:r>
            <w:r w:rsidR="001D1074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 Resolução CNJ n. 422/2021 foram apresentadas ao </w:t>
            </w:r>
            <w:r w:rsidR="00466ECF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Secretário-Geral </w:t>
            </w:r>
            <w:r w:rsidR="001D1074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CJF, </w:t>
            </w:r>
            <w:r w:rsidR="00476B69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ficou definido,</w:t>
            </w:r>
            <w:r w:rsidR="001D1074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no entanto, </w:t>
            </w:r>
            <w:r w:rsidR="00476B69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aguardar </w:t>
            </w:r>
            <w:r w:rsidR="00466ECF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manifestação do CNJ em relação </w:t>
            </w:r>
            <w:r w:rsidR="00B5697B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à</w:t>
            </w:r>
            <w:r w:rsidR="00466ECF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sugestões apresentadas pelo CTAI </w:t>
            </w:r>
            <w:r w:rsidR="001D1074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que se decida o encaminhamento a ser dado à matéria</w:t>
            </w:r>
            <w:r w:rsidR="0079115F" w:rsidRPr="003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o que poderá ocorrer somente na próxima gestão do CJF.</w:t>
            </w:r>
          </w:p>
          <w:p w14:paraId="311E2C3C" w14:textId="7206634A" w:rsidR="001D1074" w:rsidRPr="00120366" w:rsidRDefault="001D1074" w:rsidP="00D56208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0366" w:rsidRPr="00120366" w14:paraId="6DECAE5D" w14:textId="77777777" w:rsidTr="00A93B2F">
        <w:trPr>
          <w:trHeight w:val="13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115" w14:textId="71556324" w:rsidR="00A93B2F" w:rsidRPr="00120366" w:rsidRDefault="00A93B2F" w:rsidP="00FF77C7">
            <w:pPr>
              <w:ind w:right="2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lastRenderedPageBreak/>
              <w:t>Tema 1</w:t>
            </w: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20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Implantação do Programa de Qualidade - PQA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6116" w14:textId="3C9DB0E3" w:rsidR="00A93B2F" w:rsidRPr="00120366" w:rsidRDefault="00A93B2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rPr>
                <w:b/>
              </w:rPr>
              <w:t xml:space="preserve">Objetivo: </w:t>
            </w:r>
            <w:r w:rsidRPr="00120366">
              <w:t>Proceder à análise preliminar dos resultados da</w:t>
            </w:r>
            <w:r w:rsidRPr="00120366">
              <w:rPr>
                <w:i/>
                <w:iCs/>
              </w:rPr>
              <w:t xml:space="preserve"> </w:t>
            </w:r>
            <w:r w:rsidRPr="00120366">
              <w:t xml:space="preserve">implantação do Programa de Qualidade de Auditoria – PQA, dificuldades detectadas, e discussão acerca da necessidade de alterações no referido Programa. </w:t>
            </w:r>
          </w:p>
          <w:p w14:paraId="0897C40B" w14:textId="5D6843D4" w:rsidR="00466ECF" w:rsidRPr="00120366" w:rsidRDefault="00466EC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Tratou-se, nesta oportunidade, das informações relacionadas aos questionários e aos indicadores.</w:t>
            </w:r>
          </w:p>
          <w:p w14:paraId="35F4F597" w14:textId="24FCDFE0" w:rsidR="00C24943" w:rsidRPr="00120366" w:rsidRDefault="00D5620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Em relação aos questionários</w:t>
            </w:r>
            <w:r w:rsidR="00D76D3B" w:rsidRPr="00120366">
              <w:t>,</w:t>
            </w:r>
            <w:r w:rsidRPr="00120366">
              <w:t xml:space="preserve"> </w:t>
            </w:r>
            <w:r w:rsidR="00C24943" w:rsidRPr="00120366">
              <w:t>foram apresentadas as seguintes ponderações pelos representantes do CJF, dos tribunais e das seções judiciárias:</w:t>
            </w:r>
          </w:p>
          <w:p w14:paraId="4A484865" w14:textId="793F8A86" w:rsidR="00AF0CB8" w:rsidRPr="00120366" w:rsidRDefault="00C24943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 xml:space="preserve">CJF: </w:t>
            </w:r>
            <w:r w:rsidR="00D76D3B" w:rsidRPr="00120366">
              <w:t>Quanto ao</w:t>
            </w:r>
            <w:r w:rsidRPr="00120366">
              <w:t>s</w:t>
            </w:r>
            <w:r w:rsidR="00D56208" w:rsidRPr="00120366">
              <w:t xml:space="preserve"> Anexo I (percepção dos auditores) e Anexo II (percepção do supervisor da Auditoria), observou</w:t>
            </w:r>
            <w:r w:rsidRPr="00120366">
              <w:t xml:space="preserve">-se </w:t>
            </w:r>
            <w:r w:rsidR="00D56208" w:rsidRPr="00120366">
              <w:t xml:space="preserve">que </w:t>
            </w:r>
            <w:r w:rsidR="0045409A" w:rsidRPr="00120366">
              <w:t>muit</w:t>
            </w:r>
            <w:r w:rsidR="00D56208" w:rsidRPr="00120366">
              <w:t>as perguntas constantes dos questionários não parecem agregar valor à Auditoria</w:t>
            </w:r>
            <w:r w:rsidR="0079115F" w:rsidRPr="00120366">
              <w:t>.</w:t>
            </w:r>
          </w:p>
          <w:p w14:paraId="5978221B" w14:textId="220F6BFE" w:rsidR="00D56208" w:rsidRPr="00330100" w:rsidRDefault="00D5620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strike/>
              </w:rPr>
            </w:pPr>
            <w:r w:rsidRPr="00330100">
              <w:t xml:space="preserve">No que concerne ao questionário </w:t>
            </w:r>
            <w:r w:rsidR="00194616" w:rsidRPr="00330100">
              <w:t xml:space="preserve">III, </w:t>
            </w:r>
            <w:r w:rsidRPr="00330100">
              <w:t>aplicado aos dirigentes das unidades</w:t>
            </w:r>
            <w:r w:rsidR="00194616" w:rsidRPr="00330100">
              <w:t xml:space="preserve"> auditadas</w:t>
            </w:r>
            <w:r w:rsidRPr="00330100">
              <w:t>, apontou</w:t>
            </w:r>
            <w:r w:rsidR="00C24943" w:rsidRPr="00330100">
              <w:t>-se</w:t>
            </w:r>
            <w:r w:rsidRPr="00330100">
              <w:t xml:space="preserve"> que </w:t>
            </w:r>
            <w:r w:rsidR="00466ECF" w:rsidRPr="00330100">
              <w:t>este, na avaliação da SAI, trouxe resultados que irão ajudar na melhoria das atividades de auditoria.</w:t>
            </w:r>
          </w:p>
          <w:p w14:paraId="67ED564D" w14:textId="77777777" w:rsidR="00D76D3B" w:rsidRPr="00120366" w:rsidRDefault="00D5620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Quanto ao questionário de avaliação periódica</w:t>
            </w:r>
            <w:r w:rsidR="0079115F" w:rsidRPr="00120366">
              <w:t xml:space="preserve">, o </w:t>
            </w:r>
            <w:r w:rsidR="00D76D3B" w:rsidRPr="00120366">
              <w:t>A</w:t>
            </w:r>
            <w:r w:rsidR="0079115F" w:rsidRPr="00120366">
              <w:t>nexo IV,</w:t>
            </w:r>
            <w:r w:rsidRPr="00120366">
              <w:t xml:space="preserve"> respondido pelo Comitê de Auditores, verificou</w:t>
            </w:r>
            <w:r w:rsidR="00466ECF" w:rsidRPr="00120366">
              <w:t>-se</w:t>
            </w:r>
            <w:r w:rsidR="00F76C8C" w:rsidRPr="00120366">
              <w:t xml:space="preserve"> </w:t>
            </w:r>
            <w:r w:rsidRPr="00120366">
              <w:t>que há questões que não estão claras</w:t>
            </w:r>
            <w:r w:rsidR="0079115F" w:rsidRPr="00120366">
              <w:t>, dificultando a apresentação de respostas</w:t>
            </w:r>
            <w:r w:rsidRPr="00120366">
              <w:t>.</w:t>
            </w:r>
            <w:r w:rsidR="0079115F" w:rsidRPr="00120366">
              <w:t xml:space="preserve"> </w:t>
            </w:r>
          </w:p>
          <w:p w14:paraId="7C333177" w14:textId="1FA426AC" w:rsidR="00D56208" w:rsidRPr="00120366" w:rsidRDefault="0079115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Em relação ao questionário V</w:t>
            </w:r>
            <w:r w:rsidR="00D76D3B" w:rsidRPr="00120366">
              <w:t>,</w:t>
            </w:r>
            <w:r w:rsidRPr="00120366">
              <w:t xml:space="preserve"> entendeu que</w:t>
            </w:r>
            <w:r w:rsidR="00E51E97" w:rsidRPr="00120366">
              <w:t>,</w:t>
            </w:r>
            <w:r w:rsidRPr="00120366">
              <w:t xml:space="preserve"> apesar de extenso, trouxe contribuições para a melhoria dos trabalhos de auditoria.</w:t>
            </w:r>
          </w:p>
          <w:p w14:paraId="3490D12E" w14:textId="1714C7E1" w:rsidR="00F76C8C" w:rsidRPr="00120366" w:rsidRDefault="00C24943" w:rsidP="00F76C8C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TRF1: I</w:t>
            </w:r>
            <w:r w:rsidR="00F76C8C" w:rsidRPr="00120366">
              <w:t>nformou que</w:t>
            </w:r>
            <w:r w:rsidR="00D76D3B" w:rsidRPr="00120366">
              <w:t>,</w:t>
            </w:r>
            <w:r w:rsidR="00F76C8C" w:rsidRPr="00120366">
              <w:t xml:space="preserve"> contrariamente à experiência do CJF, a aplicação dos questionários I e II pelo TRF1 e Seções Judiciárias agregaram bastante valor, uma vez que os respondentes puderam justificar suas respostas. O questionário III também agregou muito valor. Somente considerou os questionários IV e V muito longos.</w:t>
            </w:r>
          </w:p>
          <w:p w14:paraId="0596F09D" w14:textId="5EE6B020" w:rsidR="00F76C8C" w:rsidRPr="00120366" w:rsidRDefault="00C24943" w:rsidP="00F76C8C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 xml:space="preserve">TRF 2 e representante das seções judiciárias: </w:t>
            </w:r>
            <w:r w:rsidR="00F76C8C" w:rsidRPr="00120366">
              <w:t xml:space="preserve"> consider</w:t>
            </w:r>
            <w:r w:rsidRPr="00120366">
              <w:t>aram</w:t>
            </w:r>
            <w:r w:rsidR="00F76C8C" w:rsidRPr="00120366">
              <w:t xml:space="preserve"> que os </w:t>
            </w:r>
            <w:r w:rsidR="000D58BA">
              <w:t>A</w:t>
            </w:r>
            <w:r w:rsidR="00F76C8C" w:rsidRPr="00120366">
              <w:t>nexos I e II não agregaram muito valor, porque enalteceram muito a Auditoria Interna. Quanto ao Anexo III, como as unidades da gestão</w:t>
            </w:r>
            <w:r w:rsidR="00CC581F" w:rsidRPr="00120366">
              <w:t xml:space="preserve"> ainda </w:t>
            </w:r>
            <w:r w:rsidR="00F76C8C" w:rsidRPr="00120366">
              <w:t xml:space="preserve">não </w:t>
            </w:r>
            <w:r w:rsidR="00CC581F" w:rsidRPr="00120366">
              <w:t xml:space="preserve">assimilaram </w:t>
            </w:r>
            <w:r w:rsidR="00F76C8C" w:rsidRPr="00120366">
              <w:t>muito bem o papel da Auditoria Interna, as avaliações tenderam a ser mais negativas, destoando da realidade. Com relação ao Anexo IV, entend</w:t>
            </w:r>
            <w:r w:rsidR="00CC581F" w:rsidRPr="00120366">
              <w:t>eram</w:t>
            </w:r>
            <w:r w:rsidR="00F76C8C" w:rsidRPr="00120366">
              <w:t xml:space="preserve"> que muitas questões não se relacionam à realidade da Auditoria Interna. Também consider</w:t>
            </w:r>
            <w:r w:rsidR="00CC581F" w:rsidRPr="00120366">
              <w:t>aram</w:t>
            </w:r>
            <w:r w:rsidR="00F76C8C" w:rsidRPr="00120366">
              <w:t xml:space="preserve"> os Anexos IV e V muito extensos.</w:t>
            </w:r>
          </w:p>
          <w:p w14:paraId="7B27EA96" w14:textId="73B0DD9C" w:rsidR="00F76C8C" w:rsidRPr="00120366" w:rsidRDefault="00F76C8C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</w:p>
          <w:p w14:paraId="7A8EAEB7" w14:textId="20CB4959" w:rsidR="00CC581F" w:rsidRPr="00120366" w:rsidRDefault="00C24943" w:rsidP="00CC581F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 xml:space="preserve">TRF 3 e representante das seções judiciárias: </w:t>
            </w:r>
            <w:r w:rsidR="00CC581F" w:rsidRPr="00120366">
              <w:t>Afirmaram que os questionários ainda não foram aplicados, pretendem aplicá-los nas auditorias a serem realizadas em 2022.</w:t>
            </w:r>
          </w:p>
          <w:p w14:paraId="31C999D3" w14:textId="551FD1A0" w:rsidR="00CC581F" w:rsidRPr="00120366" w:rsidRDefault="00CC581F" w:rsidP="00CC581F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TRF 4 e representante das seções judiciárias:</w:t>
            </w:r>
            <w:r w:rsidR="002D1424" w:rsidRPr="00120366">
              <w:t xml:space="preserve"> Informaram que foram aplicados somente os Anexos I, II e III, considerando, da mesma forma que o CJF, que os Anexos I e II tiveram respostas muito condescendentes. Também entendeu que os Anexos IV e V são muito extensos.</w:t>
            </w:r>
          </w:p>
          <w:p w14:paraId="4A44F2B9" w14:textId="268F4E5B" w:rsidR="00CC581F" w:rsidRPr="00120366" w:rsidRDefault="002D1424" w:rsidP="00CC581F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TRF 5 e representante das seções judiciárias: Afirmaram que os questionários ainda não foram aplicados, pretendem aplicá-los nas auditorias a serem realizadas em 2022.</w:t>
            </w:r>
          </w:p>
          <w:p w14:paraId="45FC7DB1" w14:textId="4E6849A5" w:rsidR="001941FF" w:rsidRPr="00120366" w:rsidRDefault="002D142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Na sequência, após a manifestação de todos, a</w:t>
            </w:r>
            <w:r w:rsidR="001941FF" w:rsidRPr="00120366">
              <w:t xml:space="preserve"> Secretária de Auditoria Interna do CJF propôs o seguinte encaminhamento em relação aos questionários de avaliação: que sejam mantidos os questionários até que o Conselho Nacional de Justiça defina o novo modelo de Programa de Qualidade.</w:t>
            </w:r>
          </w:p>
          <w:p w14:paraId="54104CAB" w14:textId="11DE0BAC" w:rsidR="001941FF" w:rsidRPr="00120366" w:rsidRDefault="002D142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 xml:space="preserve">Todos concordaram e </w:t>
            </w:r>
            <w:r w:rsidR="001941FF" w:rsidRPr="00120366">
              <w:t>votaram pela não revisão dos questionários, optando-se por aguardar a definição do CNJ quanto ao Programa de Qualidade.</w:t>
            </w:r>
          </w:p>
          <w:p w14:paraId="07F7F68D" w14:textId="77777777" w:rsidR="001941FF" w:rsidRPr="00120366" w:rsidRDefault="001941F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Em seguida, a Secretária de Auditoria Interna do CJF passou a tratar da questão dos indicadores do Programa de Qualidade.</w:t>
            </w:r>
          </w:p>
          <w:p w14:paraId="22C2C9C4" w14:textId="77777777" w:rsidR="007222F4" w:rsidRPr="00120366" w:rsidRDefault="007222F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No que concerne ao Indicador 1 – Treinamentos – a representante do TRF1 apontou que estão sendo considerados apenas os treinamentos em relação aos quais o servidor apresentou certificado. Disse ter dúvidas quanto ao assunto dos treinamentos que podem ser aceitos para fins do indicador. Tanto a representante do TRF1 quanto o do TRF4 entenderam que o critério poderia ser o aceite do treinamento para fins de Adicional de Qualificação. Se for aceito para fins de AQ, poderia ser aceito para fins do indicador.</w:t>
            </w:r>
          </w:p>
          <w:p w14:paraId="3A25AAB0" w14:textId="77777777" w:rsidR="00B925C7" w:rsidRPr="00120366" w:rsidRDefault="00B925C7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Quanto ao Indicador 2 – que trata das Recomendações Atendidas, a representante do TRF1 pontuou que o grande problema do estoque de recomendações não atendidas é que somente se pode apurar o estoque de recomendações que tiveram monitoramento, uma vez que aquelas que não sofreram monitoramento não podem ter o seu resultado alterado. Como o indicador determina que devem ser consideradas todas as recomendações não atendidas do estoque, o resultado gera uma distorção, uma vez que entram nesse resultado as recomendações não monitoradas. Outro problema levantado por ela refere-se à classificação da situação da recomendação. Deu como exemplo aquelas recomendações consideradas acatadas pela administração, mas em relação às quais a administração afirma ser inviável</w:t>
            </w:r>
            <w:r w:rsidR="004B46E2" w:rsidRPr="00120366">
              <w:t xml:space="preserve"> implementar. Neste caso, a Unidade de Auditoria Interna retira essa recomendação da situação de não atendida, ou seja, retira-a do estoque, uma vez que ela se torna não mais exigível.</w:t>
            </w:r>
          </w:p>
          <w:p w14:paraId="3205AF4B" w14:textId="3CBECA6D" w:rsidR="00314944" w:rsidRPr="00120366" w:rsidRDefault="001E7B6B" w:rsidP="00053647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Foram levantadas diversas</w:t>
            </w:r>
            <w:r w:rsidR="004B46E2" w:rsidRPr="00120366">
              <w:t xml:space="preserve"> dúvidas e dificuldades em computar os resultados</w:t>
            </w:r>
            <w:r w:rsidR="00AB6079" w:rsidRPr="00120366">
              <w:t xml:space="preserve"> para esse indicador de Recomendações Atendidas. </w:t>
            </w:r>
            <w:r w:rsidRPr="00120366">
              <w:t>Por exemplo, c</w:t>
            </w:r>
            <w:r w:rsidR="00AB6079" w:rsidRPr="00120366">
              <w:t>om relação às recomendações emitida</w:t>
            </w:r>
            <w:r w:rsidR="001977DC" w:rsidRPr="00120366">
              <w:t>s</w:t>
            </w:r>
            <w:r w:rsidRPr="00120366">
              <w:t xml:space="preserve"> ao Tribunal</w:t>
            </w:r>
            <w:r w:rsidR="00AB6079" w:rsidRPr="00120366">
              <w:t xml:space="preserve"> pelo CNJ ou pelo CJF, </w:t>
            </w:r>
            <w:r w:rsidRPr="00120366">
              <w:t xml:space="preserve">se devem ou não </w:t>
            </w:r>
            <w:r w:rsidR="00AB6079" w:rsidRPr="00120366">
              <w:t>ser computadas no indicador do Tribunal</w:t>
            </w:r>
            <w:r w:rsidR="00053647" w:rsidRPr="00120366">
              <w:t xml:space="preserve">, </w:t>
            </w:r>
            <w:r w:rsidR="00175123" w:rsidRPr="00120366">
              <w:t>n</w:t>
            </w:r>
            <w:r w:rsidR="00053647" w:rsidRPr="00120366">
              <w:t>o caso</w:t>
            </w:r>
            <w:r w:rsidR="00AB6079" w:rsidRPr="00120366">
              <w:t xml:space="preserve"> d</w:t>
            </w:r>
            <w:r w:rsidR="00053647" w:rsidRPr="00120366">
              <w:t>e</w:t>
            </w:r>
            <w:r w:rsidR="00AB6079" w:rsidRPr="00120366">
              <w:t xml:space="preserve"> recomendações emitidas </w:t>
            </w:r>
            <w:r w:rsidR="00053647" w:rsidRPr="00120366">
              <w:t>no passado e que são</w:t>
            </w:r>
            <w:r w:rsidR="00AB6079" w:rsidRPr="00120366">
              <w:t xml:space="preserve"> consideradas prejudicadas, uma vez que se refer</w:t>
            </w:r>
            <w:r w:rsidR="00053647" w:rsidRPr="00120366">
              <w:t>e</w:t>
            </w:r>
            <w:r w:rsidR="00AB6079" w:rsidRPr="00120366">
              <w:t>m a normas já revogadas</w:t>
            </w:r>
            <w:r w:rsidR="00053647" w:rsidRPr="00120366">
              <w:t xml:space="preserve"> e da possibilidade de</w:t>
            </w:r>
            <w:r w:rsidR="00314944" w:rsidRPr="00120366">
              <w:t xml:space="preserve"> considerar, nes</w:t>
            </w:r>
            <w:r w:rsidR="00053647" w:rsidRPr="00120366">
              <w:t>t</w:t>
            </w:r>
            <w:r w:rsidR="00314944" w:rsidRPr="00120366">
              <w:t xml:space="preserve">e </w:t>
            </w:r>
            <w:r w:rsidR="00053647" w:rsidRPr="00120366">
              <w:t xml:space="preserve">ou em outro </w:t>
            </w:r>
            <w:r w:rsidR="00314944" w:rsidRPr="00120366">
              <w:t>indicador</w:t>
            </w:r>
            <w:r w:rsidR="00053647" w:rsidRPr="00120366">
              <w:t xml:space="preserve"> a ser criado</w:t>
            </w:r>
            <w:r w:rsidR="00314944" w:rsidRPr="00120366">
              <w:t>, a aquiescência do gestor máximo com relação à recomendação, pois isso indica o seu teor vinculativo.</w:t>
            </w:r>
          </w:p>
          <w:p w14:paraId="050B6E51" w14:textId="41ABDE77" w:rsidR="00AB6079" w:rsidRPr="00120366" w:rsidRDefault="00985F6C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strike/>
              </w:rPr>
            </w:pPr>
            <w:r w:rsidRPr="00120366">
              <w:t xml:space="preserve">Quanto ao terceiro indicador, de cumprimento do PAA, </w:t>
            </w:r>
            <w:r w:rsidR="00053647" w:rsidRPr="00120366">
              <w:t>levantou-se</w:t>
            </w:r>
            <w:r w:rsidRPr="00120366">
              <w:t xml:space="preserve"> dúvida </w:t>
            </w:r>
            <w:r w:rsidR="00053647" w:rsidRPr="00120366">
              <w:t>quanto à hipótese de</w:t>
            </w:r>
            <w:r w:rsidRPr="00120366">
              <w:t xml:space="preserve"> auditorias </w:t>
            </w:r>
            <w:r w:rsidR="00053647" w:rsidRPr="00120366">
              <w:t>previstas no PAA e posteriormente adiadas ou canceladas</w:t>
            </w:r>
            <w:r w:rsidR="0079115F" w:rsidRPr="00120366">
              <w:t xml:space="preserve"> e, ainda, as realizadas fora do PAA. </w:t>
            </w:r>
            <w:r w:rsidRPr="00120366">
              <w:t xml:space="preserve"> A Secretária de Auditoria Interna do CJF esclareceu que </w:t>
            </w:r>
            <w:r w:rsidR="0079115F" w:rsidRPr="00120366">
              <w:t xml:space="preserve">todas as auditorias devem estar previstas no PAA e quando houver adiamento ou cancelamento de alguma ação, este deve ser alterado e esta versão alterada é que deve ser considerada. </w:t>
            </w:r>
          </w:p>
          <w:p w14:paraId="60C9B427" w14:textId="2345DB00" w:rsidR="00A548BA" w:rsidRPr="00120366" w:rsidRDefault="00053647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strike/>
              </w:rPr>
            </w:pPr>
            <w:r w:rsidRPr="00120366">
              <w:t>Outra dúvida levantada foi</w:t>
            </w:r>
            <w:r w:rsidR="00A548BA" w:rsidRPr="00120366">
              <w:t xml:space="preserve"> quanto às auditorias que tiveram sua execução iniciada no próprio exercício do PAA, mas somente tiveram o seu relatório final emitido no exercício seguinte. </w:t>
            </w:r>
            <w:r w:rsidR="006509E9" w:rsidRPr="00120366">
              <w:t>Deve ser considerada concluída em relação ao PAA no qual foi incluída ou somente considerar no exercício da conclusão do relatório?</w:t>
            </w:r>
            <w:r w:rsidR="00A548BA" w:rsidRPr="00120366">
              <w:t xml:space="preserve"> </w:t>
            </w:r>
          </w:p>
          <w:p w14:paraId="4E0E161A" w14:textId="466CBB4D" w:rsidR="007E7590" w:rsidRPr="00120366" w:rsidRDefault="007E7590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 xml:space="preserve">Quanto ao indicador do tempo de emissão dos relatórios finais, a Secretária de Auditoria Interna do CJF observou que o prazo de 15 dias </w:t>
            </w:r>
            <w:r w:rsidR="00175123" w:rsidRPr="00120366">
              <w:t xml:space="preserve">úteis </w:t>
            </w:r>
            <w:r w:rsidRPr="00120366">
              <w:t>para a emissão do relatório final, em muitos casos, não é viável.</w:t>
            </w:r>
          </w:p>
          <w:p w14:paraId="48BE4DF1" w14:textId="5E208429" w:rsidR="007E7590" w:rsidRPr="00120366" w:rsidRDefault="00AD6C7B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Observou-se, durante as discussões,</w:t>
            </w:r>
            <w:r w:rsidR="007E7590" w:rsidRPr="00120366">
              <w:t xml:space="preserve"> que há diferença entre relatórios muito extensos, que demandam mais tempo para serem emitidos, e aqueles mais simples</w:t>
            </w:r>
            <w:r w:rsidRPr="00120366">
              <w:t xml:space="preserve"> e</w:t>
            </w:r>
            <w:r w:rsidR="007E7590" w:rsidRPr="00120366">
              <w:t xml:space="preserve"> que esse indicador deveria ser revisto, sugerindo</w:t>
            </w:r>
            <w:r w:rsidRPr="00120366">
              <w:t>-se</w:t>
            </w:r>
            <w:r w:rsidR="007E7590" w:rsidRPr="00120366">
              <w:t xml:space="preserve"> o estabelecimento de um prazo médio para emissão de relatório final, englobando as auditorias mais simples e aquelas mais complexas, adotando-se um prazo médio entre todas.</w:t>
            </w:r>
          </w:p>
          <w:p w14:paraId="27F13001" w14:textId="545A5655" w:rsidR="000624C5" w:rsidRPr="00120366" w:rsidRDefault="000624C5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 xml:space="preserve">A representante do TRF3 sugeriu um indicador de cumprimento do cronograma </w:t>
            </w:r>
            <w:r w:rsidR="00AD6C7B" w:rsidRPr="00120366">
              <w:t>do PAA, como novo indicador ou como substituto do indicador do tempo de emissão dos relatórios finais</w:t>
            </w:r>
            <w:r w:rsidRPr="00120366">
              <w:t>.</w:t>
            </w:r>
          </w:p>
          <w:p w14:paraId="28AEE128" w14:textId="4E385C9E" w:rsidR="00175123" w:rsidRPr="00120366" w:rsidRDefault="00175123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Também foi sugerida a análise da possibilidade de inclusão de indicador que trate especificamente do monitoramento das recomendações.</w:t>
            </w:r>
          </w:p>
          <w:p w14:paraId="67F09A31" w14:textId="38967C2E" w:rsidR="000624C5" w:rsidRPr="00120366" w:rsidRDefault="000624C5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  <w:bCs/>
              </w:rPr>
            </w:pPr>
            <w:r w:rsidRPr="00120366">
              <w:rPr>
                <w:b/>
                <w:bCs/>
              </w:rPr>
              <w:t>Deliberaç</w:t>
            </w:r>
            <w:r w:rsidR="00AD6C7B" w:rsidRPr="00120366">
              <w:rPr>
                <w:b/>
                <w:bCs/>
              </w:rPr>
              <w:t>ões</w:t>
            </w:r>
            <w:r w:rsidRPr="00120366">
              <w:rPr>
                <w:b/>
                <w:bCs/>
              </w:rPr>
              <w:t>:</w:t>
            </w:r>
          </w:p>
          <w:p w14:paraId="20C98B2A" w14:textId="1CDB53FE" w:rsidR="00794EA4" w:rsidRPr="00120366" w:rsidRDefault="00794EA4" w:rsidP="00794EA4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>Com relação aos questionários, os membros do CTAI deliberaram pela não revisão dos questionários, optando-se por aguardar a definição do CNJ quanto ao Programa de Qualidade.</w:t>
            </w:r>
          </w:p>
          <w:p w14:paraId="0E3DAA59" w14:textId="6EEC98B5" w:rsidR="00794EA4" w:rsidRPr="00120366" w:rsidRDefault="00794EA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</w:p>
          <w:p w14:paraId="4C1B2929" w14:textId="09B97A63" w:rsidR="000624C5" w:rsidRPr="00120366" w:rsidRDefault="00794EA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120366">
              <w:t xml:space="preserve">No que se refere aos indicadores, </w:t>
            </w:r>
            <w:r w:rsidR="00AD6C7B" w:rsidRPr="00120366">
              <w:t xml:space="preserve">os membros do </w:t>
            </w:r>
            <w:r w:rsidR="0079115F" w:rsidRPr="00120366">
              <w:t xml:space="preserve">CTAI </w:t>
            </w:r>
            <w:r w:rsidRPr="00120366">
              <w:t>decidiram</w:t>
            </w:r>
            <w:r w:rsidR="00AD6C7B" w:rsidRPr="00120366">
              <w:t xml:space="preserve"> estudar a revisão dos indicadores, para inclusão de critérios mais objetivos de aferição, bem como a criação de dois novos indicadores: das recomendações </w:t>
            </w:r>
            <w:r w:rsidR="0079115F" w:rsidRPr="00120366">
              <w:t xml:space="preserve">monitoradas </w:t>
            </w:r>
            <w:r w:rsidR="00AD6C7B" w:rsidRPr="00120366">
              <w:t>e de cumprimento do cronograma do PAA.</w:t>
            </w:r>
          </w:p>
          <w:p w14:paraId="13603C0E" w14:textId="78BC3B1B" w:rsidR="00AB6079" w:rsidRPr="00120366" w:rsidRDefault="00AB6079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</w:p>
        </w:tc>
      </w:tr>
      <w:tr w:rsidR="00120366" w:rsidRPr="00120366" w14:paraId="084E363A" w14:textId="77777777" w:rsidTr="00A93B2F">
        <w:trPr>
          <w:trHeight w:val="13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62B" w14:textId="4D52D4EE" w:rsidR="00A93B2F" w:rsidRPr="00120366" w:rsidRDefault="00A93B2F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Tema 2:</w:t>
            </w: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Pr="001203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Portaria n. 638/2019 que “dispõe sobre a instituição do Sistema de Integração de Dados de Auditoria Interna da Justiça Federal - SIAUD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A12" w14:textId="572FB872" w:rsidR="00A93B2F" w:rsidRPr="00120366" w:rsidRDefault="00A93B2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/>
              </w:rPr>
              <w:t xml:space="preserve">Objetivo: </w:t>
            </w:r>
            <w:r w:rsidRPr="00120366">
              <w:rPr>
                <w:bCs/>
              </w:rPr>
              <w:t>Discutir</w:t>
            </w:r>
            <w:r w:rsidRPr="00120366">
              <w:rPr>
                <w:b/>
              </w:rPr>
              <w:t xml:space="preserve"> </w:t>
            </w:r>
            <w:r w:rsidRPr="00120366">
              <w:rPr>
                <w:bCs/>
              </w:rPr>
              <w:t xml:space="preserve">a viabilidade da continuidade do Sistema de Integração de Dados de Auditoria Interna da Justiça Federal </w:t>
            </w:r>
            <w:r w:rsidR="000624C5" w:rsidRPr="00120366">
              <w:rPr>
                <w:bCs/>
              </w:rPr>
              <w:t>–</w:t>
            </w:r>
            <w:r w:rsidRPr="00120366">
              <w:rPr>
                <w:bCs/>
              </w:rPr>
              <w:t xml:space="preserve"> SIAUD</w:t>
            </w:r>
          </w:p>
          <w:p w14:paraId="60D93697" w14:textId="77777777" w:rsidR="000624C5" w:rsidRPr="00120366" w:rsidRDefault="000624C5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</w:p>
          <w:p w14:paraId="67134AFB" w14:textId="7FCAAA49" w:rsidR="000624C5" w:rsidRPr="00120366" w:rsidRDefault="000624C5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 xml:space="preserve">A Secretária de Auditoria Interna do CJF explicou que </w:t>
            </w:r>
            <w:r w:rsidR="0079115F" w:rsidRPr="00120366">
              <w:rPr>
                <w:bCs/>
              </w:rPr>
              <w:t xml:space="preserve">a SAI </w:t>
            </w:r>
            <w:r w:rsidRPr="00120366">
              <w:rPr>
                <w:bCs/>
              </w:rPr>
              <w:t>fez uma avaliação</w:t>
            </w:r>
            <w:r w:rsidR="00183BAE" w:rsidRPr="00120366">
              <w:rPr>
                <w:bCs/>
              </w:rPr>
              <w:t xml:space="preserve"> da Portaria n. 638/20</w:t>
            </w:r>
            <w:r w:rsidR="00794EA4" w:rsidRPr="00120366">
              <w:rPr>
                <w:bCs/>
              </w:rPr>
              <w:t>19</w:t>
            </w:r>
            <w:r w:rsidR="00183BAE" w:rsidRPr="00120366">
              <w:rPr>
                <w:bCs/>
              </w:rPr>
              <w:t>, que trata do Sistema de Integração de Dados de Auditoria Interna da Justiça Federal e concluiu que  o disposto na Portaria não está sendo cumprido na prática e que, mesmo que estivesse sendo cumprido, não teria efetividade ou utilidade prática</w:t>
            </w:r>
            <w:r w:rsidR="00794EA4" w:rsidRPr="00120366">
              <w:rPr>
                <w:bCs/>
              </w:rPr>
              <w:t>, uma vez que o sistema não permite o acesso ao inteiro teor dos processos e que o acesso à maior parte das informações divulgadas já é possível em consulta às páginas dos Órgãos na internet</w:t>
            </w:r>
            <w:r w:rsidR="00183BAE" w:rsidRPr="00120366">
              <w:rPr>
                <w:bCs/>
              </w:rPr>
              <w:t>. Todos concordaram, por unanimidade, em propor a revogação da Portaria.</w:t>
            </w:r>
          </w:p>
          <w:p w14:paraId="21267A34" w14:textId="77777777" w:rsidR="00794EA4" w:rsidRPr="00120366" w:rsidRDefault="00794EA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  <w:r w:rsidRPr="00120366">
              <w:rPr>
                <w:b/>
              </w:rPr>
              <w:t>Deliberação:</w:t>
            </w:r>
          </w:p>
          <w:p w14:paraId="135A3FCC" w14:textId="6A58673E" w:rsidR="00794EA4" w:rsidRPr="00120366" w:rsidRDefault="00794EA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>Os membros do CTAI, por unanimidade, decidiram propor a revogação da Portaria CJF n. 638/2019.</w:t>
            </w:r>
          </w:p>
        </w:tc>
      </w:tr>
      <w:tr w:rsidR="00120366" w:rsidRPr="00120366" w14:paraId="2D9D6295" w14:textId="77777777" w:rsidTr="00A93B2F">
        <w:trPr>
          <w:trHeight w:val="13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2EDF" w14:textId="5F9EF321" w:rsidR="00A93B2F" w:rsidRPr="00120366" w:rsidRDefault="00A93B2F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Tema 3</w:t>
            </w: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20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Plano Tático de Auditoria Interna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E804" w14:textId="77777777" w:rsidR="00A93B2F" w:rsidRPr="00120366" w:rsidRDefault="00A93B2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/>
              </w:rPr>
              <w:t xml:space="preserve">Objetivo: </w:t>
            </w:r>
            <w:r w:rsidRPr="00120366">
              <w:rPr>
                <w:bCs/>
              </w:rPr>
              <w:t>Discutir a possibilidade de inclusão de Plano Tático de Auditoria Interna no Manual de Auditoria do CNJ</w:t>
            </w:r>
          </w:p>
          <w:p w14:paraId="394554D3" w14:textId="77777777" w:rsidR="00183BAE" w:rsidRPr="00120366" w:rsidRDefault="00183BAE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</w:p>
          <w:p w14:paraId="5EAF0430" w14:textId="4E9CA207" w:rsidR="00183BAE" w:rsidRPr="00120366" w:rsidRDefault="00183BAE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>A representante do TRF3 defendeu a implementação de um Plano Tático de Auditoria Interna na Justiça Federal. Observou que, se o Manual de Auditoria Interna do CNJ for aprovado, os órgãos da Justiça Federal deveriam elaborar os seus planos prontamente</w:t>
            </w:r>
            <w:r w:rsidR="00833C52" w:rsidRPr="00120366">
              <w:rPr>
                <w:bCs/>
              </w:rPr>
              <w:t xml:space="preserve">. </w:t>
            </w:r>
            <w:r w:rsidR="001F071C" w:rsidRPr="00330100">
              <w:rPr>
                <w:bCs/>
              </w:rPr>
              <w:t xml:space="preserve">Após várias discussões sobre o tema, </w:t>
            </w:r>
            <w:r w:rsidR="001F071C">
              <w:rPr>
                <w:bCs/>
              </w:rPr>
              <w:t>a</w:t>
            </w:r>
            <w:r w:rsidR="00833C52" w:rsidRPr="00120366">
              <w:rPr>
                <w:bCs/>
              </w:rPr>
              <w:t xml:space="preserve"> Secretária de Auditoria Interna do CJF se comprometeu a estudar o assunto para que possa ser apresentado um modelo de planejamento estratégico bem formatado, a fim de apresentá-lo para discussão no CTAI. Enfatizou que, possivelmente, esse modelo somente poderá ser apresentado no segundo semestre de 2022.</w:t>
            </w:r>
          </w:p>
          <w:p w14:paraId="079E9C6E" w14:textId="5DA5E8EA" w:rsidR="00794EA4" w:rsidRPr="00120366" w:rsidRDefault="00794EA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  <w:r w:rsidRPr="00120366">
              <w:rPr>
                <w:b/>
              </w:rPr>
              <w:t>Deliberação:</w:t>
            </w:r>
          </w:p>
          <w:p w14:paraId="40E54C19" w14:textId="764D8F7B" w:rsidR="00794EA4" w:rsidRPr="00120366" w:rsidRDefault="00794EA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>A Secretaria de Auditoria Interna do CJF apresentará</w:t>
            </w:r>
            <w:r w:rsidR="0079115F" w:rsidRPr="00120366">
              <w:rPr>
                <w:bCs/>
              </w:rPr>
              <w:t xml:space="preserve"> ao CTAI</w:t>
            </w:r>
            <w:r w:rsidR="00E35C2B" w:rsidRPr="00120366">
              <w:rPr>
                <w:bCs/>
              </w:rPr>
              <w:t>,</w:t>
            </w:r>
            <w:r w:rsidRPr="00120366">
              <w:rPr>
                <w:bCs/>
              </w:rPr>
              <w:t xml:space="preserve"> </w:t>
            </w:r>
            <w:r w:rsidR="0079115F" w:rsidRPr="00120366">
              <w:rPr>
                <w:bCs/>
              </w:rPr>
              <w:t xml:space="preserve">no segundo semestre de 2022, </w:t>
            </w:r>
            <w:r w:rsidRPr="00120366">
              <w:rPr>
                <w:bCs/>
              </w:rPr>
              <w:t>uma minuta de Plano Estratégico de Auditoria Interna para a Justiça Federal</w:t>
            </w:r>
            <w:r w:rsidR="001F071C">
              <w:rPr>
                <w:bCs/>
              </w:rPr>
              <w:t>.</w:t>
            </w:r>
          </w:p>
          <w:p w14:paraId="0D0901F9" w14:textId="08166861" w:rsidR="00183BAE" w:rsidRPr="00120366" w:rsidRDefault="00183BAE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</w:p>
        </w:tc>
      </w:tr>
      <w:tr w:rsidR="00120366" w:rsidRPr="00120366" w14:paraId="5A9BBE65" w14:textId="77777777" w:rsidTr="00A93B2F">
        <w:trPr>
          <w:trHeight w:val="13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F635" w14:textId="532C3052" w:rsidR="00A93B2F" w:rsidRPr="00120366" w:rsidRDefault="00A93B2F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</w:pP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Tema 4</w:t>
            </w:r>
            <w:r w:rsidRPr="001203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203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Trilha de capacitação/formação dos auditores e consultores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D6AF" w14:textId="77777777" w:rsidR="00A93B2F" w:rsidRPr="00120366" w:rsidRDefault="00A93B2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/>
              </w:rPr>
              <w:t xml:space="preserve">Objetivo: </w:t>
            </w:r>
            <w:r w:rsidRPr="00120366">
              <w:rPr>
                <w:bCs/>
              </w:rPr>
              <w:t>Discutir as estratégias de elaboração do Plano de Capacitação, de modo a permitir a formação adequada das equipes de auditores e consultores</w:t>
            </w:r>
          </w:p>
          <w:p w14:paraId="417F1366" w14:textId="44D07CA8" w:rsidR="00833C52" w:rsidRPr="00120366" w:rsidRDefault="00833C52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>A representante do TRF3 sugeriu o estabelecimento de trilhas de capacitação para formação dos auditores internos em determinados temas</w:t>
            </w:r>
            <w:r w:rsidR="00882108" w:rsidRPr="00120366">
              <w:rPr>
                <w:bCs/>
              </w:rPr>
              <w:t xml:space="preserve">, de acordo com o seu nível de </w:t>
            </w:r>
            <w:r w:rsidR="00794EA4" w:rsidRPr="00120366">
              <w:rPr>
                <w:bCs/>
              </w:rPr>
              <w:t xml:space="preserve">conhecimento e de </w:t>
            </w:r>
            <w:r w:rsidR="00882108" w:rsidRPr="00120366">
              <w:rPr>
                <w:bCs/>
              </w:rPr>
              <w:t>experiência</w:t>
            </w:r>
            <w:r w:rsidRPr="00120366">
              <w:rPr>
                <w:bCs/>
              </w:rPr>
              <w:t>.</w:t>
            </w:r>
            <w:r w:rsidR="00882108" w:rsidRPr="00120366">
              <w:rPr>
                <w:bCs/>
              </w:rPr>
              <w:t xml:space="preserve"> A Secretária de Auditoria Interna do CJF </w:t>
            </w:r>
            <w:r w:rsidR="009B786D" w:rsidRPr="00330100">
              <w:rPr>
                <w:bCs/>
              </w:rPr>
              <w:t xml:space="preserve">e os demais membros do CTAI </w:t>
            </w:r>
            <w:r w:rsidR="00882108" w:rsidRPr="00330100">
              <w:rPr>
                <w:bCs/>
              </w:rPr>
              <w:t>concord</w:t>
            </w:r>
            <w:r w:rsidR="009B786D" w:rsidRPr="00330100">
              <w:rPr>
                <w:bCs/>
              </w:rPr>
              <w:t>aram</w:t>
            </w:r>
            <w:r w:rsidR="00882108" w:rsidRPr="00330100">
              <w:rPr>
                <w:bCs/>
              </w:rPr>
              <w:t xml:space="preserve"> </w:t>
            </w:r>
            <w:r w:rsidR="00882108" w:rsidRPr="00120366">
              <w:rPr>
                <w:bCs/>
              </w:rPr>
              <w:t xml:space="preserve">com a importância dessas trilhas, inclusive cogitando-se a realização de trilhas conjuntas de capacitação entre o CJF e os </w:t>
            </w:r>
            <w:proofErr w:type="spellStart"/>
            <w:r w:rsidR="00882108" w:rsidRPr="00120366">
              <w:rPr>
                <w:bCs/>
              </w:rPr>
              <w:t>TRFs</w:t>
            </w:r>
            <w:proofErr w:type="spellEnd"/>
            <w:r w:rsidR="00882108" w:rsidRPr="00120366">
              <w:rPr>
                <w:bCs/>
              </w:rPr>
              <w:t>.</w:t>
            </w:r>
          </w:p>
          <w:p w14:paraId="0F89E08C" w14:textId="77777777" w:rsidR="00882108" w:rsidRPr="00120366" w:rsidRDefault="0088210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>A Secretária de Auditoria Interna do CJF disse ser necessário fazer um levantamento das competências necessárias aos auditores internos</w:t>
            </w:r>
            <w:r w:rsidR="00F913DE" w:rsidRPr="00120366">
              <w:rPr>
                <w:bCs/>
              </w:rPr>
              <w:t xml:space="preserve"> e entende que esse levantamento deve constar da política de gestão de pessoas.</w:t>
            </w:r>
          </w:p>
          <w:p w14:paraId="30C0646D" w14:textId="1B1FDB9F" w:rsidR="00EB65C0" w:rsidRPr="00120366" w:rsidRDefault="00EB65C0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 xml:space="preserve">A representante do TRF1 sugeriu que fosse formado um grupo com representantes de cada TRF e do CJF para que fosse elaborado esse levantamento. No entanto, </w:t>
            </w:r>
            <w:r w:rsidR="00AB438C" w:rsidRPr="00120366">
              <w:rPr>
                <w:bCs/>
              </w:rPr>
              <w:t>em face da quantidade de trabalho já atribuído às equipes, optou-se por aguardar a conclusão do planejamento estratégico para que fosse iniciada a formação do grupo de trabalho sugerido.</w:t>
            </w:r>
          </w:p>
          <w:p w14:paraId="30392D04" w14:textId="4C8BEC43" w:rsidR="00794EA4" w:rsidRPr="00120366" w:rsidRDefault="00794EA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  <w:r w:rsidRPr="00120366">
              <w:rPr>
                <w:b/>
              </w:rPr>
              <w:t>Deliberação:</w:t>
            </w:r>
          </w:p>
          <w:p w14:paraId="62E732FB" w14:textId="79C7C43B" w:rsidR="00AB438C" w:rsidRPr="00120366" w:rsidRDefault="00AB438C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>Deliberou-se que</w:t>
            </w:r>
            <w:r w:rsidR="0079115F" w:rsidRPr="00120366">
              <w:rPr>
                <w:bCs/>
              </w:rPr>
              <w:t>,</w:t>
            </w:r>
            <w:r w:rsidRPr="00120366">
              <w:rPr>
                <w:bCs/>
              </w:rPr>
              <w:t xml:space="preserve"> </w:t>
            </w:r>
            <w:r w:rsidR="0079115F" w:rsidRPr="00120366">
              <w:rPr>
                <w:bCs/>
              </w:rPr>
              <w:t xml:space="preserve">após a conclusão da elaboração do planejamento estratégico das unidades de auditoria interna da Justiça Federal, </w:t>
            </w:r>
            <w:r w:rsidRPr="00120366">
              <w:rPr>
                <w:bCs/>
              </w:rPr>
              <w:t>cada Tribunal irá indicar um servidor para fazer parte do grupo de trabalho</w:t>
            </w:r>
            <w:r w:rsidR="00794EA4" w:rsidRPr="00120366">
              <w:rPr>
                <w:bCs/>
              </w:rPr>
              <w:t xml:space="preserve"> encarregado de realizar </w:t>
            </w:r>
            <w:r w:rsidR="0079115F" w:rsidRPr="00120366">
              <w:rPr>
                <w:bCs/>
              </w:rPr>
              <w:t xml:space="preserve">o </w:t>
            </w:r>
            <w:r w:rsidR="00794EA4" w:rsidRPr="00120366">
              <w:rPr>
                <w:bCs/>
              </w:rPr>
              <w:t>levantamento das competências dos auditores internos</w:t>
            </w:r>
            <w:r w:rsidRPr="00120366">
              <w:rPr>
                <w:bCs/>
              </w:rPr>
              <w:t>.</w:t>
            </w:r>
          </w:p>
        </w:tc>
      </w:tr>
      <w:tr w:rsidR="00120366" w:rsidRPr="00120366" w14:paraId="34CFF13F" w14:textId="77777777" w:rsidTr="00A93B2F">
        <w:trPr>
          <w:trHeight w:val="13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2C9C" w14:textId="77777777" w:rsidR="0079115F" w:rsidRPr="00120366" w:rsidRDefault="0079115F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CC2A" w14:textId="6FCF9E57" w:rsidR="0079115F" w:rsidRPr="00120366" w:rsidRDefault="0079115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120366">
              <w:rPr>
                <w:bCs/>
              </w:rPr>
              <w:t>Na sequência, foi acordad</w:t>
            </w:r>
            <w:r w:rsidR="00E35C2B" w:rsidRPr="00120366">
              <w:rPr>
                <w:bCs/>
              </w:rPr>
              <w:t>a</w:t>
            </w:r>
            <w:r w:rsidRPr="00120366">
              <w:rPr>
                <w:bCs/>
              </w:rPr>
              <w:t xml:space="preserve"> a realização de uma reunião em maio/2022, com data ainda não determinada, para a análise dos itens da pauta que ficaram pendentes de apreciação.</w:t>
            </w:r>
          </w:p>
          <w:p w14:paraId="499D5B9A" w14:textId="5FA47CC7" w:rsidR="0079115F" w:rsidRPr="00120366" w:rsidRDefault="0079115F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  <w:r w:rsidRPr="00120366">
              <w:rPr>
                <w:bCs/>
              </w:rPr>
              <w:t>Encerrou-se à reunião às 18h45.</w:t>
            </w:r>
          </w:p>
        </w:tc>
      </w:tr>
    </w:tbl>
    <w:p w14:paraId="5DF6A8F6" w14:textId="6B5071AF" w:rsidR="00B9691A" w:rsidRPr="00120366" w:rsidRDefault="00B9691A" w:rsidP="00EB779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9691A" w:rsidRPr="00120366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AE8D" w14:textId="77777777" w:rsidR="001257AE" w:rsidRDefault="001257AE" w:rsidP="00FF77C7">
      <w:pPr>
        <w:spacing w:after="0" w:line="240" w:lineRule="auto"/>
      </w:pPr>
      <w:r>
        <w:separator/>
      </w:r>
    </w:p>
  </w:endnote>
  <w:endnote w:type="continuationSeparator" w:id="0">
    <w:p w14:paraId="5ECC7990" w14:textId="77777777" w:rsidR="001257AE" w:rsidRDefault="001257AE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9558" w14:textId="77777777" w:rsidR="001257AE" w:rsidRDefault="001257AE" w:rsidP="00FF77C7">
      <w:pPr>
        <w:spacing w:after="0" w:line="240" w:lineRule="auto"/>
      </w:pPr>
      <w:r>
        <w:separator/>
      </w:r>
    </w:p>
  </w:footnote>
  <w:footnote w:type="continuationSeparator" w:id="0">
    <w:p w14:paraId="5505FB13" w14:textId="77777777" w:rsidR="001257AE" w:rsidRDefault="001257AE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2AF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12179">
    <w:abstractNumId w:val="9"/>
  </w:num>
  <w:num w:numId="2" w16cid:durableId="1910845220">
    <w:abstractNumId w:val="8"/>
  </w:num>
  <w:num w:numId="3" w16cid:durableId="214707770">
    <w:abstractNumId w:val="1"/>
  </w:num>
  <w:num w:numId="4" w16cid:durableId="1654332744">
    <w:abstractNumId w:val="0"/>
  </w:num>
  <w:num w:numId="5" w16cid:durableId="1547522300">
    <w:abstractNumId w:val="3"/>
  </w:num>
  <w:num w:numId="6" w16cid:durableId="1577089547">
    <w:abstractNumId w:val="6"/>
  </w:num>
  <w:num w:numId="7" w16cid:durableId="1904831011">
    <w:abstractNumId w:val="4"/>
  </w:num>
  <w:num w:numId="8" w16cid:durableId="272595640">
    <w:abstractNumId w:val="5"/>
  </w:num>
  <w:num w:numId="9" w16cid:durableId="371152772">
    <w:abstractNumId w:val="7"/>
  </w:num>
  <w:num w:numId="10" w16cid:durableId="9490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329E9"/>
    <w:rsid w:val="00052706"/>
    <w:rsid w:val="00052F87"/>
    <w:rsid w:val="00053647"/>
    <w:rsid w:val="000624C5"/>
    <w:rsid w:val="00080831"/>
    <w:rsid w:val="00096B0D"/>
    <w:rsid w:val="000C1E84"/>
    <w:rsid w:val="000C6BD9"/>
    <w:rsid w:val="000C6C98"/>
    <w:rsid w:val="000D58BA"/>
    <w:rsid w:val="001045C5"/>
    <w:rsid w:val="00120366"/>
    <w:rsid w:val="001257AE"/>
    <w:rsid w:val="001464C9"/>
    <w:rsid w:val="00175123"/>
    <w:rsid w:val="00183BAE"/>
    <w:rsid w:val="00193419"/>
    <w:rsid w:val="001941FF"/>
    <w:rsid w:val="00194616"/>
    <w:rsid w:val="001977DC"/>
    <w:rsid w:val="001B5794"/>
    <w:rsid w:val="001C4CBE"/>
    <w:rsid w:val="001D1074"/>
    <w:rsid w:val="001E7B6B"/>
    <w:rsid w:val="001F071C"/>
    <w:rsid w:val="002244DA"/>
    <w:rsid w:val="0022704B"/>
    <w:rsid w:val="00271DB2"/>
    <w:rsid w:val="00276341"/>
    <w:rsid w:val="002C4737"/>
    <w:rsid w:val="002D1424"/>
    <w:rsid w:val="002E2076"/>
    <w:rsid w:val="002E745C"/>
    <w:rsid w:val="00314944"/>
    <w:rsid w:val="00315A25"/>
    <w:rsid w:val="00330100"/>
    <w:rsid w:val="00372DF3"/>
    <w:rsid w:val="003E539C"/>
    <w:rsid w:val="0042663E"/>
    <w:rsid w:val="0045409A"/>
    <w:rsid w:val="00461827"/>
    <w:rsid w:val="00466ECF"/>
    <w:rsid w:val="00476B69"/>
    <w:rsid w:val="0048269A"/>
    <w:rsid w:val="004A1C71"/>
    <w:rsid w:val="004A7416"/>
    <w:rsid w:val="004B12CE"/>
    <w:rsid w:val="004B46E2"/>
    <w:rsid w:val="004F2F68"/>
    <w:rsid w:val="00510ABC"/>
    <w:rsid w:val="00543C53"/>
    <w:rsid w:val="00547735"/>
    <w:rsid w:val="005C3F7C"/>
    <w:rsid w:val="005E080A"/>
    <w:rsid w:val="00614124"/>
    <w:rsid w:val="006343CD"/>
    <w:rsid w:val="006509E9"/>
    <w:rsid w:val="0068473F"/>
    <w:rsid w:val="0069419C"/>
    <w:rsid w:val="006A0DC3"/>
    <w:rsid w:val="006D20BE"/>
    <w:rsid w:val="006F282D"/>
    <w:rsid w:val="00701F68"/>
    <w:rsid w:val="00707E66"/>
    <w:rsid w:val="007126B1"/>
    <w:rsid w:val="007222F4"/>
    <w:rsid w:val="00745C17"/>
    <w:rsid w:val="0076671A"/>
    <w:rsid w:val="00776BFB"/>
    <w:rsid w:val="0079115F"/>
    <w:rsid w:val="00794EA4"/>
    <w:rsid w:val="007A0BC1"/>
    <w:rsid w:val="007B09B2"/>
    <w:rsid w:val="007D3A27"/>
    <w:rsid w:val="007E7590"/>
    <w:rsid w:val="008025B9"/>
    <w:rsid w:val="008025CE"/>
    <w:rsid w:val="00833C52"/>
    <w:rsid w:val="00843D6F"/>
    <w:rsid w:val="00882108"/>
    <w:rsid w:val="00926234"/>
    <w:rsid w:val="00930415"/>
    <w:rsid w:val="00981BFC"/>
    <w:rsid w:val="00985F6C"/>
    <w:rsid w:val="009B0E16"/>
    <w:rsid w:val="009B786D"/>
    <w:rsid w:val="009F0976"/>
    <w:rsid w:val="00A141A0"/>
    <w:rsid w:val="00A21899"/>
    <w:rsid w:val="00A43F6D"/>
    <w:rsid w:val="00A548BA"/>
    <w:rsid w:val="00A66004"/>
    <w:rsid w:val="00A67C6C"/>
    <w:rsid w:val="00A9171E"/>
    <w:rsid w:val="00A93B2F"/>
    <w:rsid w:val="00AB438C"/>
    <w:rsid w:val="00AB6079"/>
    <w:rsid w:val="00AD4058"/>
    <w:rsid w:val="00AD6C7B"/>
    <w:rsid w:val="00AF0CB8"/>
    <w:rsid w:val="00B10B72"/>
    <w:rsid w:val="00B1313B"/>
    <w:rsid w:val="00B4574B"/>
    <w:rsid w:val="00B5697B"/>
    <w:rsid w:val="00B925C7"/>
    <w:rsid w:val="00B9691A"/>
    <w:rsid w:val="00BC0FE5"/>
    <w:rsid w:val="00BD0DD4"/>
    <w:rsid w:val="00C00FCC"/>
    <w:rsid w:val="00C0211C"/>
    <w:rsid w:val="00C24943"/>
    <w:rsid w:val="00C60FFF"/>
    <w:rsid w:val="00C7258C"/>
    <w:rsid w:val="00C93FA5"/>
    <w:rsid w:val="00CA7441"/>
    <w:rsid w:val="00CC499C"/>
    <w:rsid w:val="00CC581F"/>
    <w:rsid w:val="00CC7ACB"/>
    <w:rsid w:val="00CE2383"/>
    <w:rsid w:val="00D2474C"/>
    <w:rsid w:val="00D56208"/>
    <w:rsid w:val="00D63499"/>
    <w:rsid w:val="00D7212D"/>
    <w:rsid w:val="00D72CBB"/>
    <w:rsid w:val="00D7359E"/>
    <w:rsid w:val="00D76D3B"/>
    <w:rsid w:val="00D83D9D"/>
    <w:rsid w:val="00D87AE8"/>
    <w:rsid w:val="00D946BB"/>
    <w:rsid w:val="00DC3F2E"/>
    <w:rsid w:val="00DF09D8"/>
    <w:rsid w:val="00E14B35"/>
    <w:rsid w:val="00E24D2B"/>
    <w:rsid w:val="00E2547C"/>
    <w:rsid w:val="00E26436"/>
    <w:rsid w:val="00E35C2B"/>
    <w:rsid w:val="00E51E97"/>
    <w:rsid w:val="00E54D8D"/>
    <w:rsid w:val="00E92549"/>
    <w:rsid w:val="00EA5CA1"/>
    <w:rsid w:val="00EB4A38"/>
    <w:rsid w:val="00EB65C0"/>
    <w:rsid w:val="00EB7798"/>
    <w:rsid w:val="00EC7535"/>
    <w:rsid w:val="00EF49AB"/>
    <w:rsid w:val="00F63E29"/>
    <w:rsid w:val="00F76C8C"/>
    <w:rsid w:val="00F913DE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10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D1074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D1074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semiHidden/>
    <w:rsid w:val="001D1074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1D1074"/>
  </w:style>
  <w:style w:type="character" w:customStyle="1" w:styleId="fontesite">
    <w:name w:val="fontesite"/>
    <w:basedOn w:val="Fontepargpadro"/>
    <w:rsid w:val="001D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2352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Roberta Bastos Cunha Nunes</cp:lastModifiedBy>
  <cp:revision>5</cp:revision>
  <cp:lastPrinted>2021-03-18T16:51:00Z</cp:lastPrinted>
  <dcterms:created xsi:type="dcterms:W3CDTF">2022-06-09T19:03:00Z</dcterms:created>
  <dcterms:modified xsi:type="dcterms:W3CDTF">2022-06-30T20:34:00Z</dcterms:modified>
</cp:coreProperties>
</file>