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708B" w14:textId="77777777" w:rsidR="006D20BE" w:rsidRDefault="0076671A">
      <w:pPr>
        <w:spacing w:after="0"/>
        <w:ind w:left="748"/>
        <w:jc w:val="center"/>
      </w:pPr>
      <w:r>
        <w:rPr>
          <w:noProof/>
        </w:rPr>
        <w:drawing>
          <wp:inline distT="0" distB="0" distL="0" distR="0" wp14:anchorId="5ABCCF77" wp14:editId="186FE9DD">
            <wp:extent cx="1700687" cy="974725"/>
            <wp:effectExtent l="0" t="0" r="0" b="0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741" cy="9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309356D" w14:textId="77777777" w:rsidR="006D20BE" w:rsidRDefault="0076671A">
      <w:pPr>
        <w:spacing w:after="0"/>
        <w:ind w:left="657"/>
        <w:jc w:val="center"/>
      </w:pPr>
      <w:r>
        <w:rPr>
          <w:rFonts w:ascii="Times New Roman" w:eastAsia="Times New Roman" w:hAnsi="Times New Roman" w:cs="Times New Roman"/>
          <w:b/>
        </w:rPr>
        <w:t xml:space="preserve">SECRETARIA DE AUDITORIA INTERNA </w:t>
      </w:r>
    </w:p>
    <w:p w14:paraId="03536188" w14:textId="77777777" w:rsidR="006D20BE" w:rsidRDefault="0076671A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COMITÊ TÉCNICO DE </w:t>
      </w:r>
      <w:r w:rsidR="00A141A0">
        <w:rPr>
          <w:rFonts w:ascii="Times New Roman" w:eastAsia="Times New Roman" w:hAnsi="Times New Roman" w:cs="Times New Roman"/>
          <w:b/>
        </w:rPr>
        <w:t>AUDITORIA</w:t>
      </w:r>
      <w:r>
        <w:rPr>
          <w:rFonts w:ascii="Times New Roman" w:eastAsia="Times New Roman" w:hAnsi="Times New Roman" w:cs="Times New Roman"/>
          <w:b/>
        </w:rPr>
        <w:t xml:space="preserve"> INTERN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DA JUSTIÇA FEDERAL – CT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I-JF </w:t>
      </w:r>
    </w:p>
    <w:p w14:paraId="30D14419" w14:textId="77777777" w:rsidR="006D20BE" w:rsidRDefault="0076671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72E3492" w14:textId="1FE07E72" w:rsidR="006D20BE" w:rsidRDefault="0076671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ATA DA </w:t>
      </w:r>
      <w:r w:rsidR="00E14B35">
        <w:rPr>
          <w:rFonts w:ascii="Times New Roman" w:eastAsia="Times New Roman" w:hAnsi="Times New Roman" w:cs="Times New Roman"/>
          <w:b/>
        </w:rPr>
        <w:t>1</w:t>
      </w:r>
      <w:r w:rsidR="0029626B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ª REUNIÃO </w:t>
      </w:r>
      <w:r w:rsidR="00A141A0">
        <w:rPr>
          <w:rFonts w:ascii="Times New Roman" w:eastAsia="Times New Roman" w:hAnsi="Times New Roman" w:cs="Times New Roman"/>
          <w:b/>
        </w:rPr>
        <w:t xml:space="preserve">ORDINÁRIA </w:t>
      </w:r>
      <w:r>
        <w:rPr>
          <w:rFonts w:ascii="Times New Roman" w:eastAsia="Times New Roman" w:hAnsi="Times New Roman" w:cs="Times New Roman"/>
          <w:b/>
        </w:rPr>
        <w:t>DO CT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I-JF </w:t>
      </w:r>
    </w:p>
    <w:p w14:paraId="72A3AC70" w14:textId="410C6A4E" w:rsidR="006D20BE" w:rsidRDefault="0076671A">
      <w:pPr>
        <w:tabs>
          <w:tab w:val="center" w:pos="1952"/>
        </w:tabs>
        <w:spacing w:after="0"/>
        <w:ind w:left="-15"/>
      </w:pPr>
      <w:proofErr w:type="gramStart"/>
      <w:r>
        <w:rPr>
          <w:rFonts w:ascii="Times New Roman" w:eastAsia="Times New Roman" w:hAnsi="Times New Roman" w:cs="Times New Roman"/>
          <w:b/>
        </w:rPr>
        <w:t xml:space="preserve">DATA  </w:t>
      </w:r>
      <w:r>
        <w:rPr>
          <w:rFonts w:ascii="Times New Roman" w:eastAsia="Times New Roman" w:hAnsi="Times New Roman" w:cs="Times New Roman"/>
          <w:b/>
        </w:rPr>
        <w:tab/>
      </w:r>
      <w:proofErr w:type="gramEnd"/>
      <w:r>
        <w:rPr>
          <w:rFonts w:ascii="Times New Roman" w:eastAsia="Times New Roman" w:hAnsi="Times New Roman" w:cs="Times New Roman"/>
          <w:b/>
        </w:rPr>
        <w:t xml:space="preserve">: </w:t>
      </w:r>
      <w:r w:rsidR="0029626B">
        <w:rPr>
          <w:rFonts w:ascii="Times New Roman" w:eastAsia="Times New Roman" w:hAnsi="Times New Roman" w:cs="Times New Roman"/>
          <w:b/>
        </w:rPr>
        <w:t>14</w:t>
      </w:r>
      <w:r w:rsidR="00930415">
        <w:rPr>
          <w:rFonts w:ascii="Times New Roman" w:eastAsia="Times New Roman" w:hAnsi="Times New Roman" w:cs="Times New Roman"/>
          <w:b/>
        </w:rPr>
        <w:t>/</w:t>
      </w:r>
      <w:r w:rsidR="00D63499">
        <w:rPr>
          <w:rFonts w:ascii="Times New Roman" w:eastAsia="Times New Roman" w:hAnsi="Times New Roman" w:cs="Times New Roman"/>
          <w:b/>
        </w:rPr>
        <w:t>0</w:t>
      </w:r>
      <w:r w:rsidR="0029626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/202</w:t>
      </w:r>
      <w:r w:rsidR="00D63499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C1B3801" w14:textId="77777777" w:rsidR="006D20BE" w:rsidRDefault="0076671A">
      <w:pPr>
        <w:tabs>
          <w:tab w:val="center" w:pos="271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LOCAL </w:t>
      </w:r>
      <w:r>
        <w:rPr>
          <w:rFonts w:ascii="Times New Roman" w:eastAsia="Times New Roman" w:hAnsi="Times New Roman" w:cs="Times New Roman"/>
          <w:b/>
        </w:rPr>
        <w:tab/>
        <w:t xml:space="preserve">: PLATAFORMA TEAMS </w:t>
      </w:r>
    </w:p>
    <w:p w14:paraId="0B4046D3" w14:textId="421A7E54" w:rsidR="006D20BE" w:rsidRDefault="0076671A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HORÁRIO </w:t>
      </w:r>
      <w:r>
        <w:rPr>
          <w:rFonts w:ascii="Times New Roman" w:eastAsia="Times New Roman" w:hAnsi="Times New Roman" w:cs="Times New Roman"/>
          <w:b/>
        </w:rPr>
        <w:tab/>
        <w:t>: 1</w:t>
      </w:r>
      <w:r w:rsidR="00D63499">
        <w:rPr>
          <w:rFonts w:ascii="Times New Roman" w:eastAsia="Times New Roman" w:hAnsi="Times New Roman" w:cs="Times New Roman"/>
          <w:b/>
        </w:rPr>
        <w:t>4</w:t>
      </w:r>
      <w:r w:rsidR="00701F68">
        <w:rPr>
          <w:rFonts w:ascii="Times New Roman" w:eastAsia="Times New Roman" w:hAnsi="Times New Roman" w:cs="Times New Roman"/>
          <w:b/>
        </w:rPr>
        <w:t>h</w:t>
      </w:r>
      <w:r w:rsidR="00D63499">
        <w:rPr>
          <w:rFonts w:ascii="Times New Roman" w:eastAsia="Times New Roman" w:hAnsi="Times New Roman" w:cs="Times New Roman"/>
          <w:b/>
        </w:rPr>
        <w:t>30</w:t>
      </w:r>
      <w:r>
        <w:rPr>
          <w:rFonts w:ascii="Times New Roman" w:eastAsia="Times New Roman" w:hAnsi="Times New Roman" w:cs="Times New Roman"/>
          <w:b/>
        </w:rPr>
        <w:t xml:space="preserve"> às 1</w:t>
      </w:r>
      <w:r w:rsidR="00D2474C">
        <w:rPr>
          <w:rFonts w:ascii="Times New Roman" w:eastAsia="Times New Roman" w:hAnsi="Times New Roman" w:cs="Times New Roman"/>
          <w:b/>
        </w:rPr>
        <w:t>8h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A14104E" w14:textId="77777777" w:rsidR="00086CB2" w:rsidRDefault="00086CB2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3BE9B291" w14:textId="77777777" w:rsidR="000C6BD9" w:rsidRDefault="000C6BD9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0770" w:type="dxa"/>
        <w:tblInd w:w="-427" w:type="dxa"/>
        <w:tblCellMar>
          <w:top w:w="14" w:type="dxa"/>
          <w:left w:w="144" w:type="dxa"/>
          <w:right w:w="26" w:type="dxa"/>
        </w:tblCellMar>
        <w:tblLook w:val="04A0" w:firstRow="1" w:lastRow="0" w:firstColumn="1" w:lastColumn="0" w:noHBand="0" w:noVBand="1"/>
      </w:tblPr>
      <w:tblGrid>
        <w:gridCol w:w="2832"/>
        <w:gridCol w:w="7938"/>
      </w:tblGrid>
      <w:tr w:rsidR="00086CB2" w14:paraId="135F2AEE" w14:textId="77777777" w:rsidTr="00086CB2">
        <w:trPr>
          <w:trHeight w:val="34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E592" w14:textId="77777777" w:rsidR="00086CB2" w:rsidRPr="0048269A" w:rsidRDefault="00086CB2">
            <w:pPr>
              <w:ind w:left="251"/>
              <w:jc w:val="center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TEMA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0F8C" w14:textId="77777777" w:rsidR="00086CB2" w:rsidRPr="0048269A" w:rsidRDefault="00086CB2">
            <w:pPr>
              <w:ind w:right="336"/>
              <w:jc w:val="center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OBJETIVOS </w:t>
            </w:r>
          </w:p>
        </w:tc>
      </w:tr>
      <w:tr w:rsidR="00086CB2" w14:paraId="6D93CF23" w14:textId="77777777" w:rsidTr="00086CB2">
        <w:trPr>
          <w:trHeight w:val="39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2966" w14:textId="77777777" w:rsidR="00086CB2" w:rsidRPr="0048269A" w:rsidRDefault="00086CB2">
            <w:pPr>
              <w:ind w:left="298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  <w:u w:val="single" w:color="000000"/>
              </w:rPr>
              <w:t>Abertura</w:t>
            </w: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2C3C" w14:textId="77777777" w:rsidR="00086CB2" w:rsidRPr="0048269A" w:rsidRDefault="00086CB2">
            <w:pPr>
              <w:ind w:left="295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86CB2" w:rsidRPr="00745C17" w14:paraId="6DECAE5D" w14:textId="77777777" w:rsidTr="00086CB2">
        <w:trPr>
          <w:trHeight w:val="133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1115" w14:textId="702FA498" w:rsidR="00086CB2" w:rsidRPr="00745C17" w:rsidRDefault="00086CB2" w:rsidP="00FF77C7">
            <w:pPr>
              <w:ind w:righ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Tema 1</w:t>
            </w:r>
            <w:r w:rsidRPr="00745C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bookmarkStart w:id="0" w:name="_Hlk106890118"/>
            <w:r w:rsidRPr="00E5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Revisão do conteúdo dos portais de prestação de contas e certificação pelas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E5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nidades de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E5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uditoria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E5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nterna</w:t>
            </w:r>
            <w:bookmarkEnd w:id="0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6AC5" w14:textId="77777777" w:rsidR="00086CB2" w:rsidRDefault="00086CB2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>
              <w:rPr>
                <w:b/>
              </w:rPr>
              <w:t xml:space="preserve">Objetivo: </w:t>
            </w:r>
            <w:bookmarkStart w:id="1" w:name="_Hlk106890096"/>
            <w:r w:rsidRPr="00E54D8D">
              <w:rPr>
                <w:bCs/>
              </w:rPr>
              <w:t>Proceder à análise comparativa acerca dos conteúdos publicados nas páginas “Transparência e Prestação de Contas” dos portais institucionais e discutir a possibilidade de ajustes nos procedimentos de publicação das informações nessas páginas e de certificação das contas pelas Unidades de Auditoria Interna</w:t>
            </w:r>
            <w:bookmarkEnd w:id="1"/>
          </w:p>
          <w:p w14:paraId="0699F2A0" w14:textId="77777777" w:rsidR="00B53179" w:rsidRDefault="00B53179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</w:p>
          <w:p w14:paraId="10DA784F" w14:textId="62E06702" w:rsidR="00AF6B7E" w:rsidRPr="007E0095" w:rsidRDefault="00B53179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7E0095">
              <w:t>A Secretária de Auditoria Interna do CJF</w:t>
            </w:r>
            <w:r w:rsidR="00AF6B7E" w:rsidRPr="007E0095">
              <w:t>, inicialmente, apresentou aos membros do CTAI as alterações trazidas pela Decisão Normativa TCU n. 198/2022</w:t>
            </w:r>
            <w:r w:rsidR="008E4E62" w:rsidRPr="007E0095">
              <w:t>.</w:t>
            </w:r>
          </w:p>
          <w:p w14:paraId="7B6864FC" w14:textId="1FFEEF95" w:rsidR="00B53179" w:rsidRDefault="00B53179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7E0095">
              <w:t xml:space="preserve"> </w:t>
            </w:r>
            <w:r w:rsidR="008E4E62" w:rsidRPr="007E0095">
              <w:t xml:space="preserve">Na sequência, deu início a pauta, observando </w:t>
            </w:r>
            <w:r w:rsidRPr="007E0095">
              <w:t>que no passado tentou-se fazer essa padronização e foram enfrentadas diversas dificuldades. Ressaltou que, atualmente, em uma mesma Região, no Rol de Responsáveis, por exemplo, ocorre de o Tribunal publicar esse documento de forma diferente da</w:t>
            </w:r>
            <w:r w:rsidR="00A23DE3" w:rsidRPr="007E0095">
              <w:t>s</w:t>
            </w:r>
            <w:r w:rsidRPr="007E0095">
              <w:t xml:space="preserve"> Seccionais. Ressaltou que o estudo dessa padronização deve ser uma meta do CTAI. Consultou aos membros do CTAI sobre o interesse de</w:t>
            </w:r>
            <w:r>
              <w:t xml:space="preserve"> que seja apresentada uma proposta de padronização à Administração.</w:t>
            </w:r>
          </w:p>
          <w:p w14:paraId="63CBFA2E" w14:textId="0F752D7F" w:rsidR="00F347F1" w:rsidRDefault="00F347F1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>
              <w:t>A representante do TRF3 sugeriu que o trabalho de padronização seja iniciado com as páginas de responsabilidade das Unidades de Auditoria Interna.</w:t>
            </w:r>
            <w:r w:rsidR="00F11978">
              <w:t xml:space="preserve"> Entende que determinadas informações que hoje são publicadas na subpágina da Auditoria Interna, dentro da página “Transparência e Prestação de Contas”, não deveriam ser da responsabilidade da Auditoria Interna.</w:t>
            </w:r>
          </w:p>
          <w:p w14:paraId="480427E9" w14:textId="1239E9BE" w:rsidR="00F347F1" w:rsidRPr="00234DA4" w:rsidRDefault="00F347F1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strike/>
                <w:color w:val="FF0000"/>
              </w:rPr>
            </w:pPr>
            <w:r>
              <w:t>A Secretária de Auditoria Interna do CJF sugeriu que fosse realizada uma Auditoria Conjunta nas páginas de transparência para que fossem emitidas as orientações da Auditoria sobre a melhor forma de publicação das informações.</w:t>
            </w:r>
            <w:r w:rsidR="00C934C2">
              <w:t xml:space="preserve"> </w:t>
            </w:r>
          </w:p>
          <w:p w14:paraId="3D6B6B9E" w14:textId="77777777" w:rsidR="00C934C2" w:rsidRDefault="00F11978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>
              <w:t>A Secretária pontuou que as Cartas de Representação estão sendo elaboradas de formas diferentes, de Região para Região – algumas estão elaborando apenas uma Carta consolidada, assinada pelos dirigentes do Tribunal e das Seccionais, outras estão elaborando Cartas separadas.</w:t>
            </w:r>
            <w:r w:rsidR="007D2ED8">
              <w:t xml:space="preserve"> Outra questão que, no seu entendimento, deveria ser objeto de padronização, refere-se à submissão do Relatório da Auditoria nas Contas, que deveria ser sempre ao Órgão Colegiado do Tribunal ou do Conselho, via Presidência.</w:t>
            </w:r>
          </w:p>
          <w:p w14:paraId="20022A2F" w14:textId="52C8E3DB" w:rsidR="00821838" w:rsidRDefault="00821838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>
              <w:t xml:space="preserve">Em relação a este item, a Secretária de Auditoria Interna do CJF sugeriu que fosse dado o encaminhamento de apresentar uma minuta de Instrução </w:t>
            </w:r>
            <w:r w:rsidRPr="007E0095">
              <w:lastRenderedPageBreak/>
              <w:t>Normativa nos moldes da IN n. 8 do CJF, no sentido de padronizar as informações da página “Transparência e Prestação de Contas”</w:t>
            </w:r>
            <w:r w:rsidR="00A23DE3" w:rsidRPr="007E0095">
              <w:t>, no âmbito do Conselho e dos Tribunais.</w:t>
            </w:r>
          </w:p>
          <w:p w14:paraId="0E18FE75" w14:textId="77777777" w:rsidR="00942F24" w:rsidRPr="00942F24" w:rsidRDefault="00942F24" w:rsidP="00942F24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/>
              </w:rPr>
            </w:pPr>
            <w:r w:rsidRPr="00942F24">
              <w:rPr>
                <w:b/>
              </w:rPr>
              <w:t>Deliberação:</w:t>
            </w:r>
          </w:p>
          <w:p w14:paraId="13603C0E" w14:textId="5F0FA73F" w:rsidR="00942F24" w:rsidRPr="00E54D8D" w:rsidRDefault="00942F24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bookmarkStart w:id="2" w:name="_Hlk106890136"/>
            <w:r w:rsidRPr="007E0095">
              <w:t>Os membros do CTAI aprovaram o encaminhamento de apresentação de minuta de Instrução Normativa dispondo sobre a padronização das informações a serem inseridas na página “Transparência e Prestação de Contas”</w:t>
            </w:r>
            <w:r w:rsidR="00AF6B7E" w:rsidRPr="007E0095">
              <w:t xml:space="preserve"> e na Unidade de Auditoria</w:t>
            </w:r>
            <w:bookmarkEnd w:id="2"/>
            <w:r w:rsidR="00AF6B7E" w:rsidRPr="007E0095">
              <w:t>.</w:t>
            </w:r>
          </w:p>
        </w:tc>
      </w:tr>
      <w:tr w:rsidR="00086CB2" w:rsidRPr="00745C17" w14:paraId="084E363A" w14:textId="77777777" w:rsidTr="00086CB2">
        <w:trPr>
          <w:trHeight w:val="133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162B" w14:textId="622B29B4" w:rsidR="00086CB2" w:rsidRPr="00745C17" w:rsidRDefault="00086CB2" w:rsidP="00FF77C7">
            <w:pPr>
              <w:ind w:right="2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lastRenderedPageBreak/>
              <w:t>Tema 2:</w:t>
            </w:r>
            <w:r w:rsidRPr="001C4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3" w:name="_Hlk106890168"/>
            <w:r w:rsidRPr="00E54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Atuação das Unidades de Auditoria Interna em razão do e-prevenção</w:t>
            </w:r>
            <w:bookmarkEnd w:id="3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4928" w14:textId="77777777" w:rsidR="00086CB2" w:rsidRDefault="00086CB2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>
              <w:rPr>
                <w:b/>
              </w:rPr>
              <w:t xml:space="preserve">Objetivo: </w:t>
            </w:r>
            <w:r w:rsidRPr="00B1313B">
              <w:rPr>
                <w:bCs/>
              </w:rPr>
              <w:t>Discutir o papel das Unidades de Auditoria Interna no acompanhamento das avaliações pertinentes ao sistema e-prevenção, do Tribunal de Contas da União</w:t>
            </w:r>
          </w:p>
          <w:p w14:paraId="5B29EA03" w14:textId="07E6CEA4" w:rsidR="00F46A18" w:rsidRDefault="00F46A18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F46A18">
              <w:rPr>
                <w:bCs/>
              </w:rPr>
              <w:t>A Secretária de Auditoria Interna relatou que o CJF participou de reuniões com o TCU logo no nascedouro da Rede de Controle e assinou o Protocolo de Intenções.</w:t>
            </w:r>
            <w:r>
              <w:rPr>
                <w:bCs/>
              </w:rPr>
              <w:t xml:space="preserve"> N</w:t>
            </w:r>
            <w:r w:rsidR="00A23DE3">
              <w:rPr>
                <w:bCs/>
              </w:rPr>
              <w:t>o</w:t>
            </w:r>
            <w:r>
              <w:rPr>
                <w:bCs/>
              </w:rPr>
              <w:t xml:space="preserve"> ano passado, o TRF1 fez uma consulta ao CJF, em função de ter participado da Rede de Controle e assinado o Protocolo de Intenções, qual seria a orientação a ser dada para resposta ao questionário e-Prevenção. Descobriu-se que, na época, a antiga Secretaria de Controle Interno do CJF havia participado da Rede de Controle como participante do CJF, mas essa participação cessou e não houve mais andamento a respeito desse tema no âmbito do CJF.  Uma vez que todos os cinco </w:t>
            </w:r>
            <w:proofErr w:type="spellStart"/>
            <w:r>
              <w:rPr>
                <w:bCs/>
              </w:rPr>
              <w:t>TRFs</w:t>
            </w:r>
            <w:proofErr w:type="spellEnd"/>
            <w:r>
              <w:rPr>
                <w:bCs/>
              </w:rPr>
              <w:t xml:space="preserve"> foram convidados a responder ao questionário e-Prevenção, sugeriu à Secretaria-Geral do CJF que o CJF fosse também incluído.</w:t>
            </w:r>
            <w:r w:rsidR="004B0D9F">
              <w:rPr>
                <w:bCs/>
              </w:rPr>
              <w:t xml:space="preserve"> As respostas foram coletadas junto às unidades responsáveis </w:t>
            </w:r>
            <w:r w:rsidR="00A23DE3" w:rsidRPr="00A23DE3">
              <w:rPr>
                <w:bCs/>
              </w:rPr>
              <w:t>e</w:t>
            </w:r>
            <w:r w:rsidR="004B0D9F" w:rsidRPr="00A23DE3">
              <w:rPr>
                <w:bCs/>
              </w:rPr>
              <w:t xml:space="preserve"> </w:t>
            </w:r>
            <w:r w:rsidR="004B0D9F">
              <w:rPr>
                <w:bCs/>
              </w:rPr>
              <w:t>consolidadas pela SAI, que elaborou relatório sobre os resultados e o encaminhou para ciência da Administração. Solicitou novamente a complementação ou a atualização das informações, para que seja procedida nova revisão do questionário. Embora a SAI tenha feito todas essas etapas, chegou-se à conclusão de que a responsabilidade pelas respostas ao questionário deve ser da própria Administração, e que cabe às Unidades de Auditoria Interna acompanhar a evolução dos resultados.</w:t>
            </w:r>
          </w:p>
          <w:p w14:paraId="5797BE16" w14:textId="77777777" w:rsidR="00DB37B4" w:rsidRDefault="00DB37B4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>
              <w:rPr>
                <w:bCs/>
              </w:rPr>
              <w:t>A Representante do TRF3 pontuou que não está claro de que unidade é a responsabilidade de resposta ao questionário.</w:t>
            </w:r>
          </w:p>
          <w:p w14:paraId="25D4EFA3" w14:textId="77777777" w:rsidR="009847FE" w:rsidRDefault="009847FE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>
              <w:rPr>
                <w:bCs/>
              </w:rPr>
              <w:t>A Secretária de Auditoria Interna do CJF sugeriu que, posteriormente, o CTAI discuta formas de padronização das respostas ao e-Prevenção que sejam da responsabilidade das Unidades de Auditoria Interna.</w:t>
            </w:r>
          </w:p>
          <w:p w14:paraId="65A99759" w14:textId="77777777" w:rsidR="00942F24" w:rsidRPr="00942F24" w:rsidRDefault="00942F24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/>
              </w:rPr>
            </w:pPr>
            <w:r w:rsidRPr="00942F24">
              <w:rPr>
                <w:b/>
              </w:rPr>
              <w:t>Deliberação:</w:t>
            </w:r>
          </w:p>
          <w:p w14:paraId="135A3FCC" w14:textId="59FA87BE" w:rsidR="00942F24" w:rsidRPr="00F46A18" w:rsidRDefault="00942F24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bookmarkStart w:id="4" w:name="_Hlk106890382"/>
            <w:r w:rsidRPr="007E0095">
              <w:rPr>
                <w:bCs/>
              </w:rPr>
              <w:t xml:space="preserve">O CTAI deliberou pela aprovação de proposta de encaminhamento no sentido de que a responsabilidade pela gestão do e-Prevenção </w:t>
            </w:r>
            <w:r w:rsidR="00234DA4" w:rsidRPr="007E0095">
              <w:rPr>
                <w:bCs/>
              </w:rPr>
              <w:t xml:space="preserve">seja </w:t>
            </w:r>
            <w:r w:rsidRPr="007E0095">
              <w:rPr>
                <w:bCs/>
              </w:rPr>
              <w:t>da Administração – todos os membros do CTAI encaminharão ao CJF sugestões de justificativas que embasem o encaminhamento</w:t>
            </w:r>
            <w:r>
              <w:rPr>
                <w:bCs/>
              </w:rPr>
              <w:t>.</w:t>
            </w:r>
            <w:bookmarkEnd w:id="4"/>
          </w:p>
        </w:tc>
      </w:tr>
      <w:tr w:rsidR="00086CB2" w:rsidRPr="00745C17" w14:paraId="2D9D6295" w14:textId="77777777" w:rsidTr="00086CB2">
        <w:trPr>
          <w:trHeight w:val="133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2EDF" w14:textId="540B74DD" w:rsidR="00086CB2" w:rsidRPr="00745C17" w:rsidRDefault="00086CB2" w:rsidP="00FF77C7">
            <w:pPr>
              <w:ind w:right="2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</w:pPr>
            <w:r w:rsidRPr="00745C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 xml:space="preserve">Tema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3</w:t>
            </w:r>
            <w:r w:rsidRPr="00745C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bookmarkStart w:id="5" w:name="_Hlk106890417"/>
            <w:r w:rsidRPr="00B13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Avaliação quanto à atuação das Unidades de Auditoria Interna no Relatório de Gestão Fiscal</w:t>
            </w:r>
            <w:bookmarkEnd w:id="5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B354" w14:textId="77777777" w:rsidR="00086CB2" w:rsidRPr="007E0095" w:rsidRDefault="00086CB2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7E0095">
              <w:rPr>
                <w:b/>
              </w:rPr>
              <w:t xml:space="preserve">Objetivo: </w:t>
            </w:r>
            <w:r w:rsidRPr="007E0095">
              <w:rPr>
                <w:bCs/>
              </w:rPr>
              <w:t>Definir o posicionamento do CTAI quanto ao papel/atuação das Unidades de Auditoria Interna no processo de aprovação e publicação dos Relatórios de Gestão Fiscais</w:t>
            </w:r>
          </w:p>
          <w:p w14:paraId="7D73ABE2" w14:textId="77777777" w:rsidR="00794E1A" w:rsidRPr="007E0095" w:rsidRDefault="00794E1A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7E0095">
              <w:rPr>
                <w:bCs/>
              </w:rPr>
              <w:t>A Secretária de Auditoria Interna do CJF disse que no CJF a SAI confere os dados do Relatório de Gestão Fiscal como se o estivesse auditando. A responsabilidade pela sua elaboração é da Secretaria de Administração. Como a LRF determina que as unidades de “controle interno” precisam assinar o RGF, pensa ser necessário conferir todas as informações constantes do RGF.</w:t>
            </w:r>
          </w:p>
          <w:p w14:paraId="005B4443" w14:textId="02C431E5" w:rsidR="00794E1A" w:rsidRPr="007E0095" w:rsidRDefault="00794E1A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7E0095">
              <w:rPr>
                <w:bCs/>
              </w:rPr>
              <w:t>A representante do TRF3 disse que até pouco tempo atrás a Unidade de Auditoria Interna era responsável pelo lançamento das informações do RGF no SICONFI</w:t>
            </w:r>
            <w:r w:rsidR="00BE67C9" w:rsidRPr="007E0095">
              <w:rPr>
                <w:bCs/>
              </w:rPr>
              <w:t xml:space="preserve"> e encaminhamento das informações ao TCU e ao Senado Federal</w:t>
            </w:r>
            <w:r w:rsidRPr="007E0095">
              <w:rPr>
                <w:bCs/>
              </w:rPr>
              <w:t>. Atualmente, limita-se a conferir as informações lançadas na planilha.</w:t>
            </w:r>
            <w:r w:rsidR="006233FF" w:rsidRPr="007E0095">
              <w:rPr>
                <w:bCs/>
              </w:rPr>
              <w:t xml:space="preserve"> Considera que a retirada dessas responsabilidades foi positiva.</w:t>
            </w:r>
          </w:p>
          <w:p w14:paraId="42BFAB89" w14:textId="7B367889" w:rsidR="00AF6B7E" w:rsidRPr="007E0095" w:rsidRDefault="00AF6B7E" w:rsidP="00AF6B7E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</w:pPr>
            <w:r w:rsidRPr="007E0095">
              <w:t>A Representante do TRF3 assinalou, também, que o Relatório de Gestão Fiscal deveria ser submetido à apreciação dos Órgãos Colegiados. A Secretária de Auditoria Interna do CJF concordou com essa observação, destacando que o art. 54 da Lei Complementar n. 101, de 4 de maio de 2000 (Lei de Responsabilidade Fiscal), no inciso III, determina, de fato, que o Relatório de Gestão Fiscal deve ser assinado pelos membros do Conselho de Administração ou órgão decisório equivalente.</w:t>
            </w:r>
          </w:p>
          <w:p w14:paraId="50C48DD5" w14:textId="05BBC3F1" w:rsidR="00A65BF5" w:rsidRPr="007E0095" w:rsidRDefault="00A65BF5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7E0095">
              <w:rPr>
                <w:bCs/>
              </w:rPr>
              <w:t>O representante do TRF2 esclareceu que na 2ª Região a conferência do RGF é objeto da Auditoria nas Contas</w:t>
            </w:r>
            <w:r w:rsidR="00821838" w:rsidRPr="007E0095">
              <w:rPr>
                <w:bCs/>
              </w:rPr>
              <w:t>.</w:t>
            </w:r>
          </w:p>
          <w:p w14:paraId="57268DC4" w14:textId="77777777" w:rsidR="00066BB2" w:rsidRPr="007E0095" w:rsidRDefault="00821838" w:rsidP="00066BB2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7E0095">
              <w:rPr>
                <w:bCs/>
              </w:rPr>
              <w:t>A representante do TRF3 sugeriu que fossem padronizados os procedimentos a serem feitos quanto ao RGF.</w:t>
            </w:r>
            <w:r w:rsidR="00066BB2" w:rsidRPr="007E0095">
              <w:rPr>
                <w:bCs/>
              </w:rPr>
              <w:t xml:space="preserve"> </w:t>
            </w:r>
          </w:p>
          <w:p w14:paraId="4A9E2D03" w14:textId="2DCA3FC3" w:rsidR="00066BB2" w:rsidRPr="007E0095" w:rsidRDefault="00066BB2" w:rsidP="00066BB2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7E0095">
              <w:rPr>
                <w:bCs/>
              </w:rPr>
              <w:t>A Secretária de Auditoria Interna do CJF salientou</w:t>
            </w:r>
            <w:r w:rsidR="00891B2B" w:rsidRPr="007E0095">
              <w:rPr>
                <w:bCs/>
              </w:rPr>
              <w:t>, que no âmbito do CJF, está sendo</w:t>
            </w:r>
            <w:r w:rsidRPr="007E0095">
              <w:rPr>
                <w:bCs/>
              </w:rPr>
              <w:t xml:space="preserve"> estudada a possibilidade de que as conferências do RGF sejam incluídas no Plano Anual de Auditoria, como auditorias trimestrais, até mesmo como forma de garantir a sua apreciação pelo Órgão Colegiado.</w:t>
            </w:r>
          </w:p>
          <w:p w14:paraId="04EBE3E6" w14:textId="77777777" w:rsidR="00891B2B" w:rsidRPr="007E0095" w:rsidRDefault="00891B2B" w:rsidP="00891B2B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/>
              </w:rPr>
            </w:pPr>
            <w:r w:rsidRPr="007E0095">
              <w:rPr>
                <w:b/>
              </w:rPr>
              <w:t>Deliberação:</w:t>
            </w:r>
          </w:p>
          <w:p w14:paraId="313F237F" w14:textId="582C81F4" w:rsidR="00891B2B" w:rsidRPr="007E0095" w:rsidRDefault="00891B2B" w:rsidP="00066BB2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7E0095">
              <w:rPr>
                <w:bCs/>
              </w:rPr>
              <w:t xml:space="preserve">Após as discussões, concluiu-se que </w:t>
            </w:r>
            <w:r w:rsidR="00193B0E" w:rsidRPr="007E0095">
              <w:rPr>
                <w:bCs/>
              </w:rPr>
              <w:t>as unidades de auditoria interna do CJF e dos Tribunais vêm</w:t>
            </w:r>
            <w:r w:rsidRPr="007E0095">
              <w:rPr>
                <w:bCs/>
              </w:rPr>
              <w:t xml:space="preserve"> atuando </w:t>
            </w:r>
            <w:r w:rsidR="00193B0E" w:rsidRPr="007E0095">
              <w:rPr>
                <w:bCs/>
              </w:rPr>
              <w:t xml:space="preserve">em consonância </w:t>
            </w:r>
            <w:r w:rsidRPr="007E0095">
              <w:rPr>
                <w:bCs/>
              </w:rPr>
              <w:t xml:space="preserve">com o que determina o </w:t>
            </w:r>
            <w:r w:rsidR="00193B0E" w:rsidRPr="007E0095">
              <w:rPr>
                <w:bCs/>
              </w:rPr>
              <w:t>art</w:t>
            </w:r>
            <w:r w:rsidR="003901D0">
              <w:rPr>
                <w:bCs/>
              </w:rPr>
              <w:t>.</w:t>
            </w:r>
            <w:r w:rsidR="00193B0E" w:rsidRPr="007E0095">
              <w:rPr>
                <w:bCs/>
              </w:rPr>
              <w:t xml:space="preserve"> 54 da Lei </w:t>
            </w:r>
            <w:r w:rsidR="003901D0">
              <w:rPr>
                <w:bCs/>
              </w:rPr>
              <w:t>C</w:t>
            </w:r>
            <w:r w:rsidR="00193B0E" w:rsidRPr="007E0095">
              <w:rPr>
                <w:bCs/>
              </w:rPr>
              <w:t>omplementar n. 101/2000 – LRF. Na sequência</w:t>
            </w:r>
            <w:r w:rsidR="003901D0">
              <w:rPr>
                <w:bCs/>
              </w:rPr>
              <w:t>,</w:t>
            </w:r>
            <w:r w:rsidR="00193B0E" w:rsidRPr="007E0095">
              <w:rPr>
                <w:bCs/>
              </w:rPr>
              <w:t xml:space="preserve"> ficou deci</w:t>
            </w:r>
            <w:r w:rsidR="003901D0">
              <w:rPr>
                <w:bCs/>
              </w:rPr>
              <w:t>di</w:t>
            </w:r>
            <w:r w:rsidR="00193B0E" w:rsidRPr="007E0095">
              <w:rPr>
                <w:bCs/>
              </w:rPr>
              <w:t>do estudar</w:t>
            </w:r>
            <w:r w:rsidRPr="007E0095">
              <w:rPr>
                <w:bCs/>
              </w:rPr>
              <w:t xml:space="preserve"> a possibilidade de inclusão desta atividade no Plano Anual de Auditoria, nos moldes do que já faz o TRF da 1ª Região.</w:t>
            </w:r>
          </w:p>
          <w:p w14:paraId="154EA3BA" w14:textId="77777777" w:rsidR="00891B2B" w:rsidRPr="007E0095" w:rsidRDefault="00891B2B" w:rsidP="00066BB2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</w:p>
          <w:p w14:paraId="0D0901F9" w14:textId="3131B956" w:rsidR="00821838" w:rsidRPr="007E0095" w:rsidRDefault="00821838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</w:p>
        </w:tc>
      </w:tr>
    </w:tbl>
    <w:p w14:paraId="5DF6A8F6" w14:textId="6B5071AF" w:rsidR="00B9691A" w:rsidRDefault="00B9691A" w:rsidP="00EB77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691A" w:rsidSect="0048269A">
      <w:pgSz w:w="11906" w:h="16841"/>
      <w:pgMar w:top="284" w:right="1792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1217" w14:textId="77777777" w:rsidR="00096B0D" w:rsidRDefault="00096B0D" w:rsidP="00FF77C7">
      <w:pPr>
        <w:spacing w:after="0" w:line="240" w:lineRule="auto"/>
      </w:pPr>
      <w:r>
        <w:separator/>
      </w:r>
    </w:p>
  </w:endnote>
  <w:endnote w:type="continuationSeparator" w:id="0">
    <w:p w14:paraId="1916B39A" w14:textId="77777777" w:rsidR="00096B0D" w:rsidRDefault="00096B0D" w:rsidP="00FF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D8AD" w14:textId="77777777" w:rsidR="00096B0D" w:rsidRDefault="00096B0D" w:rsidP="00FF77C7">
      <w:pPr>
        <w:spacing w:after="0" w:line="240" w:lineRule="auto"/>
      </w:pPr>
      <w:r>
        <w:separator/>
      </w:r>
    </w:p>
  </w:footnote>
  <w:footnote w:type="continuationSeparator" w:id="0">
    <w:p w14:paraId="400DF6B8" w14:textId="77777777" w:rsidR="00096B0D" w:rsidRDefault="00096B0D" w:rsidP="00FF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0AC"/>
    <w:multiLevelType w:val="hybridMultilevel"/>
    <w:tmpl w:val="E140E600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357A1"/>
    <w:multiLevelType w:val="hybridMultilevel"/>
    <w:tmpl w:val="F9CCA184"/>
    <w:lvl w:ilvl="0" w:tplc="B176AB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2AF"/>
    <w:multiLevelType w:val="hybridMultilevel"/>
    <w:tmpl w:val="76D8D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6C1C"/>
    <w:multiLevelType w:val="hybridMultilevel"/>
    <w:tmpl w:val="8934FB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770F"/>
    <w:multiLevelType w:val="hybridMultilevel"/>
    <w:tmpl w:val="360A9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904"/>
    <w:multiLevelType w:val="hybridMultilevel"/>
    <w:tmpl w:val="AFCA8B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19D3"/>
    <w:multiLevelType w:val="hybridMultilevel"/>
    <w:tmpl w:val="58C0164A"/>
    <w:lvl w:ilvl="0" w:tplc="EBEC8352">
      <w:start w:val="1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2E692CAD"/>
    <w:multiLevelType w:val="hybridMultilevel"/>
    <w:tmpl w:val="C002A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05FB8"/>
    <w:multiLevelType w:val="hybridMultilevel"/>
    <w:tmpl w:val="D6BECB60"/>
    <w:lvl w:ilvl="0" w:tplc="28ACB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2166B"/>
    <w:multiLevelType w:val="hybridMultilevel"/>
    <w:tmpl w:val="06D2E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803612">
    <w:abstractNumId w:val="9"/>
  </w:num>
  <w:num w:numId="2" w16cid:durableId="1217938831">
    <w:abstractNumId w:val="8"/>
  </w:num>
  <w:num w:numId="3" w16cid:durableId="375543119">
    <w:abstractNumId w:val="1"/>
  </w:num>
  <w:num w:numId="4" w16cid:durableId="660350014">
    <w:abstractNumId w:val="0"/>
  </w:num>
  <w:num w:numId="5" w16cid:durableId="671032533">
    <w:abstractNumId w:val="3"/>
  </w:num>
  <w:num w:numId="6" w16cid:durableId="276377737">
    <w:abstractNumId w:val="6"/>
  </w:num>
  <w:num w:numId="7" w16cid:durableId="405078578">
    <w:abstractNumId w:val="4"/>
  </w:num>
  <w:num w:numId="8" w16cid:durableId="1231114132">
    <w:abstractNumId w:val="5"/>
  </w:num>
  <w:num w:numId="9" w16cid:durableId="781191202">
    <w:abstractNumId w:val="7"/>
  </w:num>
  <w:num w:numId="10" w16cid:durableId="1091317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BE"/>
    <w:rsid w:val="00012CD6"/>
    <w:rsid w:val="000329E9"/>
    <w:rsid w:val="00052706"/>
    <w:rsid w:val="00052F87"/>
    <w:rsid w:val="00066BB2"/>
    <w:rsid w:val="00080831"/>
    <w:rsid w:val="00086CB2"/>
    <w:rsid w:val="00096B0D"/>
    <w:rsid w:val="000C1E84"/>
    <w:rsid w:val="000C6BD9"/>
    <w:rsid w:val="000C6C98"/>
    <w:rsid w:val="001045C5"/>
    <w:rsid w:val="00193419"/>
    <w:rsid w:val="00193B0E"/>
    <w:rsid w:val="001B5794"/>
    <w:rsid w:val="001C4CBE"/>
    <w:rsid w:val="002244DA"/>
    <w:rsid w:val="0022704B"/>
    <w:rsid w:val="00234DA4"/>
    <w:rsid w:val="00271DB2"/>
    <w:rsid w:val="00276341"/>
    <w:rsid w:val="0029626B"/>
    <w:rsid w:val="002C4737"/>
    <w:rsid w:val="002E2076"/>
    <w:rsid w:val="002E745C"/>
    <w:rsid w:val="00372DF3"/>
    <w:rsid w:val="003901D0"/>
    <w:rsid w:val="003E539C"/>
    <w:rsid w:val="0042663E"/>
    <w:rsid w:val="00461827"/>
    <w:rsid w:val="0048269A"/>
    <w:rsid w:val="004A1C71"/>
    <w:rsid w:val="004A7416"/>
    <w:rsid w:val="004B0D9F"/>
    <w:rsid w:val="004B12CE"/>
    <w:rsid w:val="004F2F68"/>
    <w:rsid w:val="00510ABC"/>
    <w:rsid w:val="00543C53"/>
    <w:rsid w:val="00547735"/>
    <w:rsid w:val="005C3F7C"/>
    <w:rsid w:val="005E080A"/>
    <w:rsid w:val="00614124"/>
    <w:rsid w:val="006233FF"/>
    <w:rsid w:val="006343CD"/>
    <w:rsid w:val="0068473F"/>
    <w:rsid w:val="0069419C"/>
    <w:rsid w:val="006D20BE"/>
    <w:rsid w:val="00701F68"/>
    <w:rsid w:val="007126B1"/>
    <w:rsid w:val="00743E55"/>
    <w:rsid w:val="00745C17"/>
    <w:rsid w:val="0076671A"/>
    <w:rsid w:val="00776BFB"/>
    <w:rsid w:val="00794E1A"/>
    <w:rsid w:val="007A0BC1"/>
    <w:rsid w:val="007B09B2"/>
    <w:rsid w:val="007D2ED8"/>
    <w:rsid w:val="007D3A27"/>
    <w:rsid w:val="007E0095"/>
    <w:rsid w:val="008025B9"/>
    <w:rsid w:val="00821838"/>
    <w:rsid w:val="00843D6F"/>
    <w:rsid w:val="00891B2B"/>
    <w:rsid w:val="008E4E62"/>
    <w:rsid w:val="00926234"/>
    <w:rsid w:val="00930415"/>
    <w:rsid w:val="00942F24"/>
    <w:rsid w:val="009847FE"/>
    <w:rsid w:val="009B0E16"/>
    <w:rsid w:val="009F0976"/>
    <w:rsid w:val="00A141A0"/>
    <w:rsid w:val="00A21899"/>
    <w:rsid w:val="00A23DE3"/>
    <w:rsid w:val="00A43F6D"/>
    <w:rsid w:val="00A57CDC"/>
    <w:rsid w:val="00A65BF5"/>
    <w:rsid w:val="00A66004"/>
    <w:rsid w:val="00A67C6C"/>
    <w:rsid w:val="00A9171E"/>
    <w:rsid w:val="00AF6B7E"/>
    <w:rsid w:val="00B10B72"/>
    <w:rsid w:val="00B1313B"/>
    <w:rsid w:val="00B4574B"/>
    <w:rsid w:val="00B53179"/>
    <w:rsid w:val="00B9691A"/>
    <w:rsid w:val="00BC0FE5"/>
    <w:rsid w:val="00BD0DD4"/>
    <w:rsid w:val="00BE67C9"/>
    <w:rsid w:val="00C0211C"/>
    <w:rsid w:val="00C7258C"/>
    <w:rsid w:val="00C934C2"/>
    <w:rsid w:val="00C93FA5"/>
    <w:rsid w:val="00CA7441"/>
    <w:rsid w:val="00CC499C"/>
    <w:rsid w:val="00CC7ACB"/>
    <w:rsid w:val="00CE2383"/>
    <w:rsid w:val="00D2474C"/>
    <w:rsid w:val="00D63499"/>
    <w:rsid w:val="00D7212D"/>
    <w:rsid w:val="00D72CBB"/>
    <w:rsid w:val="00D7359E"/>
    <w:rsid w:val="00D83D9D"/>
    <w:rsid w:val="00D87AE8"/>
    <w:rsid w:val="00DB37B4"/>
    <w:rsid w:val="00DF09D8"/>
    <w:rsid w:val="00E049AC"/>
    <w:rsid w:val="00E14B35"/>
    <w:rsid w:val="00E24D2B"/>
    <w:rsid w:val="00E2547C"/>
    <w:rsid w:val="00E54D8D"/>
    <w:rsid w:val="00E92549"/>
    <w:rsid w:val="00EB4A38"/>
    <w:rsid w:val="00EB7798"/>
    <w:rsid w:val="00EC17DC"/>
    <w:rsid w:val="00EC7535"/>
    <w:rsid w:val="00ED12C0"/>
    <w:rsid w:val="00EF49AB"/>
    <w:rsid w:val="00F11978"/>
    <w:rsid w:val="00F347F1"/>
    <w:rsid w:val="00F46A18"/>
    <w:rsid w:val="00F63E29"/>
    <w:rsid w:val="00FF402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BEF2"/>
  <w15:docId w15:val="{CE7134CC-53DD-4538-A515-A984255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7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ato">
    <w:name w:val="ato"/>
    <w:basedOn w:val="Normal"/>
    <w:rsid w:val="00052F87"/>
    <w:pPr>
      <w:keepNext/>
      <w:spacing w:after="36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paragraph" w:customStyle="1" w:styleId="paragrafo-2">
    <w:name w:val="paragrafo-2"/>
    <w:basedOn w:val="Normal"/>
    <w:rsid w:val="008025B9"/>
    <w:pPr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1F6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Forte">
    <w:name w:val="Strong"/>
    <w:basedOn w:val="Fontepargpadro"/>
    <w:uiPriority w:val="22"/>
    <w:qFormat/>
    <w:rsid w:val="00A6600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7C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7C7"/>
    <w:rPr>
      <w:rFonts w:ascii="Calibri" w:eastAsia="Calibri" w:hAnsi="Calibri" w:cs="Calibri"/>
      <w:color w:val="000000"/>
    </w:rPr>
  </w:style>
  <w:style w:type="paragraph" w:customStyle="1" w:styleId="dou-paragraph">
    <w:name w:val="dou-paragraph"/>
    <w:basedOn w:val="Normal"/>
    <w:rsid w:val="0074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1157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13:30 às 14:15</vt:lpstr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13:30 às 14:15</dc:title>
  <dc:subject/>
  <dc:creator>getulio</dc:creator>
  <cp:keywords/>
  <cp:lastModifiedBy>Roberta Bastos Cunha Nunes</cp:lastModifiedBy>
  <cp:revision>14</cp:revision>
  <cp:lastPrinted>2021-03-18T16:51:00Z</cp:lastPrinted>
  <dcterms:created xsi:type="dcterms:W3CDTF">2022-06-14T19:17:00Z</dcterms:created>
  <dcterms:modified xsi:type="dcterms:W3CDTF">2022-08-08T15:31:00Z</dcterms:modified>
</cp:coreProperties>
</file>