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708B" w14:textId="77777777" w:rsidR="006D20BE" w:rsidRDefault="0076671A">
      <w:pPr>
        <w:spacing w:after="0"/>
        <w:ind w:left="74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BCCF77" wp14:editId="186FE9DD">
            <wp:extent cx="1700687" cy="97472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741" cy="9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09356D" w14:textId="77777777" w:rsidR="006D20BE" w:rsidRDefault="0076671A">
      <w:pPr>
        <w:spacing w:after="0"/>
        <w:ind w:left="657"/>
        <w:jc w:val="center"/>
      </w:pPr>
      <w:r>
        <w:rPr>
          <w:rFonts w:ascii="Times New Roman" w:eastAsia="Times New Roman" w:hAnsi="Times New Roman" w:cs="Times New Roman"/>
          <w:b/>
        </w:rPr>
        <w:t xml:space="preserve">SECRETARIA DE AUDITORIA INTERNA </w:t>
      </w:r>
    </w:p>
    <w:p w14:paraId="03536188" w14:textId="77777777" w:rsidR="006D20BE" w:rsidRDefault="0076671A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COMITÊ TÉCNICO DE </w:t>
      </w:r>
      <w:r w:rsidR="00A141A0">
        <w:rPr>
          <w:rFonts w:ascii="Times New Roman" w:eastAsia="Times New Roman" w:hAnsi="Times New Roman" w:cs="Times New Roman"/>
          <w:b/>
        </w:rPr>
        <w:t>AUDITORIA</w:t>
      </w:r>
      <w:r>
        <w:rPr>
          <w:rFonts w:ascii="Times New Roman" w:eastAsia="Times New Roman" w:hAnsi="Times New Roman" w:cs="Times New Roman"/>
          <w:b/>
        </w:rPr>
        <w:t xml:space="preserve"> INTERN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DA JUSTIÇA FEDERAL –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14:paraId="30D14419" w14:textId="77777777" w:rsidR="006D20BE" w:rsidRDefault="0076671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72E3492" w14:textId="1E1DDD7D" w:rsidR="006D20BE" w:rsidRDefault="0076671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ATA DA </w:t>
      </w:r>
      <w:r w:rsidR="009B0E16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ª REUNIÃO </w:t>
      </w:r>
      <w:r w:rsidR="00A141A0">
        <w:rPr>
          <w:rFonts w:ascii="Times New Roman" w:eastAsia="Times New Roman" w:hAnsi="Times New Roman" w:cs="Times New Roman"/>
          <w:b/>
        </w:rPr>
        <w:t xml:space="preserve">ORDINÁRIA </w:t>
      </w:r>
      <w:r>
        <w:rPr>
          <w:rFonts w:ascii="Times New Roman" w:eastAsia="Times New Roman" w:hAnsi="Times New Roman" w:cs="Times New Roman"/>
          <w:b/>
        </w:rPr>
        <w:t>DO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14:paraId="72A3AC70" w14:textId="632D7569" w:rsidR="006D20BE" w:rsidRDefault="0076671A">
      <w:pPr>
        <w:tabs>
          <w:tab w:val="center" w:pos="1952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DATA 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 w:rsidR="009B0E16">
        <w:rPr>
          <w:rFonts w:ascii="Times New Roman" w:eastAsia="Times New Roman" w:hAnsi="Times New Roman" w:cs="Times New Roman"/>
          <w:b/>
        </w:rPr>
        <w:t>8</w:t>
      </w:r>
      <w:r w:rsidR="00930415">
        <w:rPr>
          <w:rFonts w:ascii="Times New Roman" w:eastAsia="Times New Roman" w:hAnsi="Times New Roman" w:cs="Times New Roman"/>
          <w:b/>
        </w:rPr>
        <w:t>/</w:t>
      </w:r>
      <w:r w:rsidR="009B0E16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>/202</w:t>
      </w:r>
      <w:r w:rsidR="00A141A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1B3801" w14:textId="77777777" w:rsidR="006D20BE" w:rsidRDefault="0076671A">
      <w:pPr>
        <w:tabs>
          <w:tab w:val="center" w:pos="271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LOCAL </w:t>
      </w:r>
      <w:r>
        <w:rPr>
          <w:rFonts w:ascii="Times New Roman" w:eastAsia="Times New Roman" w:hAnsi="Times New Roman" w:cs="Times New Roman"/>
          <w:b/>
        </w:rPr>
        <w:tab/>
        <w:t xml:space="preserve">: PLATAFORMA TEAMS </w:t>
      </w:r>
    </w:p>
    <w:p w14:paraId="0B4046D3" w14:textId="75D5D001" w:rsidR="006D20BE" w:rsidRDefault="0076671A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HORÁRIO </w:t>
      </w:r>
      <w:r>
        <w:rPr>
          <w:rFonts w:ascii="Times New Roman" w:eastAsia="Times New Roman" w:hAnsi="Times New Roman" w:cs="Times New Roman"/>
          <w:b/>
        </w:rPr>
        <w:tab/>
        <w:t>: 1</w:t>
      </w:r>
      <w:r w:rsidR="009B0E16">
        <w:rPr>
          <w:rFonts w:ascii="Times New Roman" w:eastAsia="Times New Roman" w:hAnsi="Times New Roman" w:cs="Times New Roman"/>
          <w:b/>
        </w:rPr>
        <w:t>4</w:t>
      </w:r>
      <w:r w:rsidR="00701F68">
        <w:rPr>
          <w:rFonts w:ascii="Times New Roman" w:eastAsia="Times New Roman" w:hAnsi="Times New Roman" w:cs="Times New Roman"/>
          <w:b/>
        </w:rPr>
        <w:t>h</w:t>
      </w:r>
      <w:r w:rsidR="009B0E16"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</w:rPr>
        <w:t xml:space="preserve"> às 1</w:t>
      </w:r>
      <w:r w:rsidR="00D2474C">
        <w:rPr>
          <w:rFonts w:ascii="Times New Roman" w:eastAsia="Times New Roman" w:hAnsi="Times New Roman" w:cs="Times New Roman"/>
          <w:b/>
        </w:rPr>
        <w:t>8h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699AEA0" w14:textId="70CCF821" w:rsidR="00F970F7" w:rsidRDefault="00F970F7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03FF48D5" w14:textId="77777777" w:rsidR="00F970F7" w:rsidRPr="00107F71" w:rsidRDefault="00F970F7" w:rsidP="00F970F7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b/>
          <w:color w:val="auto"/>
          <w:sz w:val="24"/>
          <w:szCs w:val="24"/>
        </w:rPr>
        <w:t>PARTICIPANTES:</w:t>
      </w:r>
    </w:p>
    <w:p w14:paraId="7399D52A" w14:textId="77777777" w:rsidR="00F970F7" w:rsidRPr="00107F71" w:rsidRDefault="00F970F7" w:rsidP="00F970F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F93AF85" w14:textId="77777777" w:rsidR="00F970F7" w:rsidRPr="00107F71" w:rsidRDefault="00F970F7" w:rsidP="00F970F7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b/>
          <w:color w:val="auto"/>
          <w:sz w:val="24"/>
          <w:szCs w:val="24"/>
        </w:rPr>
        <w:t>Eva Maria Ferreira Barros</w:t>
      </w:r>
    </w:p>
    <w:p w14:paraId="0FC17B61" w14:textId="77777777" w:rsidR="00F970F7" w:rsidRPr="00107F71" w:rsidRDefault="00F970F7" w:rsidP="00F970F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Secretária de Auditoria Interna</w:t>
      </w:r>
    </w:p>
    <w:p w14:paraId="0CA6E7AC" w14:textId="77777777" w:rsidR="00F970F7" w:rsidRPr="00107F71" w:rsidRDefault="00F970F7" w:rsidP="00F970F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Conselho da Justiça Federal</w:t>
      </w:r>
    </w:p>
    <w:p w14:paraId="7A126422" w14:textId="77777777" w:rsidR="00F970F7" w:rsidRPr="00107F71" w:rsidRDefault="00F970F7" w:rsidP="00F970F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Presidente do CTAI</w:t>
      </w:r>
    </w:p>
    <w:p w14:paraId="2E986477" w14:textId="77777777" w:rsidR="00F970F7" w:rsidRPr="00107F71" w:rsidRDefault="00F970F7" w:rsidP="00F970F7">
      <w:pPr>
        <w:spacing w:after="0"/>
        <w:rPr>
          <w:color w:val="auto"/>
        </w:rPr>
      </w:pPr>
    </w:p>
    <w:p w14:paraId="2752E34D" w14:textId="5B5103A0" w:rsidR="00F970F7" w:rsidRPr="00107F71" w:rsidRDefault="00F970F7" w:rsidP="00F970F7">
      <w:pPr>
        <w:pStyle w:val="Ttulo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Marcos Dias Oliveira</w:t>
      </w:r>
    </w:p>
    <w:p w14:paraId="31E6D20C" w14:textId="0AA03E0B" w:rsidR="00F970F7" w:rsidRPr="00107F71" w:rsidRDefault="00F970F7" w:rsidP="00F970F7">
      <w:pPr>
        <w:pStyle w:val="Ttulo3"/>
        <w:rPr>
          <w:rFonts w:ascii="Times New Roman" w:hAnsi="Times New Roman"/>
          <w:b/>
          <w:bCs/>
          <w:szCs w:val="24"/>
        </w:rPr>
      </w:pPr>
      <w:r w:rsidRPr="00107F71">
        <w:rPr>
          <w:rFonts w:ascii="Times New Roman" w:hAnsi="Times New Roman"/>
          <w:szCs w:val="24"/>
        </w:rPr>
        <w:t>Diretor da Secretaria de Auditoria Interna</w:t>
      </w:r>
      <w:r>
        <w:rPr>
          <w:rFonts w:ascii="Times New Roman" w:hAnsi="Times New Roman"/>
          <w:szCs w:val="24"/>
        </w:rPr>
        <w:t>, em exercício</w:t>
      </w:r>
    </w:p>
    <w:p w14:paraId="7F14DE5D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1ª Região</w:t>
      </w:r>
    </w:p>
    <w:p w14:paraId="5EA384FA" w14:textId="77777777" w:rsidR="00F970F7" w:rsidRPr="00107F71" w:rsidRDefault="00F970F7" w:rsidP="00F970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423159F0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7A543456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/>
          <w:b/>
          <w:color w:val="auto"/>
          <w:sz w:val="24"/>
          <w:szCs w:val="24"/>
        </w:rPr>
        <w:t>Raphael Junger</w:t>
      </w:r>
    </w:p>
    <w:p w14:paraId="0B68B384" w14:textId="77777777" w:rsidR="00F970F7" w:rsidRPr="00107F71" w:rsidRDefault="00F970F7" w:rsidP="00F970F7">
      <w:pPr>
        <w:spacing w:after="0" w:line="240" w:lineRule="auto"/>
        <w:outlineLvl w:val="4"/>
        <w:rPr>
          <w:rFonts w:ascii="Times New Roman" w:hAnsi="Times New Roman"/>
          <w:bCs/>
          <w:color w:val="auto"/>
          <w:sz w:val="24"/>
          <w:szCs w:val="24"/>
        </w:rPr>
      </w:pPr>
      <w:r w:rsidRPr="00107F71">
        <w:rPr>
          <w:rFonts w:ascii="Times New Roman" w:hAnsi="Times New Roman"/>
          <w:bCs/>
          <w:color w:val="auto"/>
          <w:sz w:val="24"/>
          <w:szCs w:val="24"/>
        </w:rPr>
        <w:t xml:space="preserve">Diretor da Secretaria de Auditoria Interna </w:t>
      </w:r>
    </w:p>
    <w:p w14:paraId="4ABB9490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2ª Região</w:t>
      </w:r>
    </w:p>
    <w:p w14:paraId="193F2857" w14:textId="77777777" w:rsidR="00F970F7" w:rsidRPr="00107F71" w:rsidRDefault="00F970F7" w:rsidP="00F970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26FB44C9" w14:textId="77777777" w:rsidR="00F970F7" w:rsidRPr="00107F71" w:rsidRDefault="00F970F7" w:rsidP="00F970F7">
      <w:pPr>
        <w:pStyle w:val="Ttulo2"/>
        <w:textAlignment w:val="baseline"/>
        <w:rPr>
          <w:rFonts w:ascii="Times New Roman" w:hAnsi="Times New Roman"/>
          <w:bCs/>
          <w:szCs w:val="24"/>
        </w:rPr>
      </w:pPr>
    </w:p>
    <w:p w14:paraId="108A88D2" w14:textId="77777777" w:rsidR="00F970F7" w:rsidRPr="00107F71" w:rsidRDefault="00F970F7" w:rsidP="00F970F7">
      <w:pPr>
        <w:pStyle w:val="Ttulo3"/>
        <w:rPr>
          <w:rFonts w:ascii="Times New Roman" w:hAnsi="Times New Roman"/>
          <w:b/>
          <w:szCs w:val="24"/>
        </w:rPr>
      </w:pPr>
      <w:r w:rsidRPr="00107F71">
        <w:rPr>
          <w:rFonts w:ascii="Times New Roman" w:hAnsi="Times New Roman"/>
          <w:b/>
          <w:szCs w:val="24"/>
        </w:rPr>
        <w:t xml:space="preserve">Patrícia Ribeiro </w:t>
      </w:r>
    </w:p>
    <w:p w14:paraId="2DAFA3CD" w14:textId="77777777" w:rsidR="00F970F7" w:rsidRPr="00107F71" w:rsidRDefault="00F970F7" w:rsidP="00F970F7">
      <w:pPr>
        <w:spacing w:after="0" w:line="240" w:lineRule="auto"/>
        <w:rPr>
          <w:rStyle w:val="fontenegrito"/>
          <w:rFonts w:ascii="Times New Roman" w:hAnsi="Times New Roman"/>
          <w:color w:val="auto"/>
          <w:szCs w:val="24"/>
        </w:rPr>
      </w:pPr>
      <w:r w:rsidRPr="00107F71">
        <w:rPr>
          <w:rStyle w:val="fontenegrito"/>
          <w:rFonts w:ascii="Times New Roman" w:hAnsi="Times New Roman"/>
          <w:color w:val="auto"/>
          <w:szCs w:val="24"/>
        </w:rPr>
        <w:t xml:space="preserve">Diretora da Secretaria de Auditoria Interna </w:t>
      </w:r>
    </w:p>
    <w:p w14:paraId="462BBC33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3ª Região</w:t>
      </w:r>
    </w:p>
    <w:p w14:paraId="16DFCA5F" w14:textId="77777777" w:rsidR="00F970F7" w:rsidRPr="00107F71" w:rsidRDefault="00F970F7" w:rsidP="00F970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226349D3" w14:textId="77777777" w:rsidR="00F970F7" w:rsidRPr="00107F71" w:rsidRDefault="00F970F7" w:rsidP="00F970F7">
      <w:pPr>
        <w:pStyle w:val="Ttulo3"/>
        <w:rPr>
          <w:rStyle w:val="fontesite"/>
          <w:rFonts w:ascii="Times New Roman" w:hAnsi="Times New Roman"/>
          <w:szCs w:val="24"/>
        </w:rPr>
      </w:pPr>
    </w:p>
    <w:p w14:paraId="5613D6AD" w14:textId="77777777" w:rsidR="00F970F7" w:rsidRPr="00F970F7" w:rsidRDefault="00F970F7" w:rsidP="00F970F7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F970F7">
        <w:rPr>
          <w:rStyle w:val="fontesite"/>
          <w:rFonts w:ascii="Times New Roman" w:hAnsi="Times New Roman"/>
          <w:b/>
          <w:szCs w:val="24"/>
        </w:rPr>
        <w:t>Wolfgang Striebel</w:t>
      </w:r>
    </w:p>
    <w:p w14:paraId="521F9F6F" w14:textId="77777777" w:rsidR="00F970F7" w:rsidRPr="00107F71" w:rsidRDefault="00F970F7" w:rsidP="00F970F7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da Secretaria de Auditoria Interna </w:t>
      </w:r>
    </w:p>
    <w:p w14:paraId="22345771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4ª Região</w:t>
      </w:r>
    </w:p>
    <w:p w14:paraId="4D0B5607" w14:textId="77777777" w:rsidR="00F970F7" w:rsidRPr="00107F71" w:rsidRDefault="00F970F7" w:rsidP="00F970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46F02B6D" w14:textId="77777777" w:rsidR="00F970F7" w:rsidRPr="00107F71" w:rsidRDefault="00F970F7" w:rsidP="00F970F7">
      <w:pPr>
        <w:pStyle w:val="Ttulo3"/>
        <w:rPr>
          <w:rFonts w:ascii="Times New Roman" w:hAnsi="Times New Roman"/>
          <w:szCs w:val="24"/>
        </w:rPr>
      </w:pPr>
    </w:p>
    <w:p w14:paraId="06BEC91F" w14:textId="77777777" w:rsidR="00F970F7" w:rsidRPr="00107F71" w:rsidRDefault="00F970F7" w:rsidP="00F970F7">
      <w:pPr>
        <w:pStyle w:val="Ttulo3"/>
        <w:rPr>
          <w:rFonts w:ascii="Times New Roman" w:hAnsi="Times New Roman"/>
          <w:szCs w:val="24"/>
        </w:rPr>
      </w:pPr>
      <w:r w:rsidRPr="00107F71">
        <w:rPr>
          <w:rFonts w:ascii="Times New Roman" w:hAnsi="Times New Roman"/>
          <w:b/>
          <w:szCs w:val="24"/>
        </w:rPr>
        <w:t>Sídia Maria Porto Lima</w:t>
      </w:r>
    </w:p>
    <w:p w14:paraId="6036598A" w14:textId="77777777" w:rsidR="00F970F7" w:rsidRPr="00107F71" w:rsidRDefault="00F970F7" w:rsidP="00F970F7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Diretora da Subsecretaria de Auditoria Interna</w:t>
      </w:r>
    </w:p>
    <w:p w14:paraId="2015F494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5ª Região</w:t>
      </w:r>
    </w:p>
    <w:p w14:paraId="05548565" w14:textId="77777777" w:rsidR="00F970F7" w:rsidRPr="00107F71" w:rsidRDefault="00F970F7" w:rsidP="00F970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168E2CF1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675EC455" w14:textId="77777777" w:rsidR="00F970F7" w:rsidRPr="00C94395" w:rsidRDefault="00F970F7" w:rsidP="00F970F7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C94395">
        <w:rPr>
          <w:rStyle w:val="fontesite"/>
          <w:rFonts w:ascii="Times New Roman" w:hAnsi="Times New Roman"/>
          <w:b/>
          <w:szCs w:val="24"/>
        </w:rPr>
        <w:t>Zacarias Vitorino de Oliveira Filho</w:t>
      </w:r>
    </w:p>
    <w:p w14:paraId="399EE638" w14:textId="77777777" w:rsidR="00F970F7" w:rsidRPr="00107F71" w:rsidRDefault="00F970F7" w:rsidP="00F970F7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do Núcleo de Auditoria Interna </w:t>
      </w:r>
    </w:p>
    <w:p w14:paraId="1FF2B70E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da Bahia</w:t>
      </w:r>
    </w:p>
    <w:p w14:paraId="3D655D37" w14:textId="77777777" w:rsidR="00F970F7" w:rsidRPr="00107F71" w:rsidRDefault="00F970F7" w:rsidP="00F970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74B5EB9B" w14:textId="77777777" w:rsidR="00F970F7" w:rsidRPr="00C94395" w:rsidRDefault="00F970F7" w:rsidP="00F970F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021C9758" w14:textId="3E850ADD" w:rsidR="00F970F7" w:rsidRPr="00C94395" w:rsidRDefault="00284CBB" w:rsidP="00F970F7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C94395">
        <w:rPr>
          <w:rStyle w:val="fontesite"/>
          <w:rFonts w:ascii="Times New Roman" w:hAnsi="Times New Roman"/>
          <w:b/>
          <w:szCs w:val="24"/>
        </w:rPr>
        <w:t>C</w:t>
      </w:r>
      <w:r w:rsidR="001067D0" w:rsidRPr="00C94395">
        <w:rPr>
          <w:rStyle w:val="fontesite"/>
          <w:rFonts w:ascii="Times New Roman" w:hAnsi="Times New Roman"/>
          <w:b/>
          <w:szCs w:val="24"/>
        </w:rPr>
        <w:t>hristiane Negrão Santos</w:t>
      </w:r>
    </w:p>
    <w:p w14:paraId="1DE6AC2A" w14:textId="0C7E90EA" w:rsidR="00F970F7" w:rsidRPr="00107F71" w:rsidRDefault="001067D0" w:rsidP="00F970F7">
      <w:pPr>
        <w:pStyle w:val="Ttulo3"/>
        <w:rPr>
          <w:rStyle w:val="fontesite"/>
          <w:rFonts w:ascii="Times New Roman" w:hAnsi="Times New Roman"/>
          <w:szCs w:val="24"/>
        </w:rPr>
      </w:pPr>
      <w:r>
        <w:rPr>
          <w:rStyle w:val="fontesite"/>
          <w:rFonts w:ascii="Times New Roman" w:hAnsi="Times New Roman"/>
          <w:szCs w:val="24"/>
        </w:rPr>
        <w:t xml:space="preserve">Diretora da </w:t>
      </w:r>
      <w:r w:rsidR="00F970F7" w:rsidRPr="00107F71">
        <w:rPr>
          <w:rStyle w:val="fontesite"/>
          <w:rFonts w:ascii="Times New Roman" w:hAnsi="Times New Roman"/>
          <w:szCs w:val="24"/>
        </w:rPr>
        <w:t>Subsecret</w:t>
      </w:r>
      <w:r>
        <w:rPr>
          <w:rStyle w:val="fontesite"/>
          <w:rFonts w:ascii="Times New Roman" w:hAnsi="Times New Roman"/>
          <w:szCs w:val="24"/>
        </w:rPr>
        <w:t>a</w:t>
      </w:r>
      <w:r w:rsidR="00F970F7" w:rsidRPr="00107F71">
        <w:rPr>
          <w:rStyle w:val="fontesite"/>
          <w:rFonts w:ascii="Times New Roman" w:hAnsi="Times New Roman"/>
          <w:szCs w:val="24"/>
        </w:rPr>
        <w:t>ri</w:t>
      </w:r>
      <w:r>
        <w:rPr>
          <w:rStyle w:val="fontesite"/>
          <w:rFonts w:ascii="Times New Roman" w:hAnsi="Times New Roman"/>
          <w:szCs w:val="24"/>
        </w:rPr>
        <w:t>a</w:t>
      </w:r>
      <w:r w:rsidR="00F970F7" w:rsidRPr="00107F71">
        <w:rPr>
          <w:rStyle w:val="fontesite"/>
          <w:rFonts w:ascii="Times New Roman" w:hAnsi="Times New Roman"/>
          <w:szCs w:val="24"/>
        </w:rPr>
        <w:t xml:space="preserve"> de </w:t>
      </w:r>
      <w:r>
        <w:rPr>
          <w:rStyle w:val="fontesite"/>
          <w:rFonts w:ascii="Times New Roman" w:hAnsi="Times New Roman"/>
          <w:szCs w:val="24"/>
        </w:rPr>
        <w:t>Auditoria Interna, em exercício</w:t>
      </w:r>
    </w:p>
    <w:p w14:paraId="35678CA5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do Rio de Janeiro</w:t>
      </w:r>
    </w:p>
    <w:p w14:paraId="608B6810" w14:textId="77777777" w:rsidR="00F970F7" w:rsidRPr="00107F71" w:rsidRDefault="00F970F7" w:rsidP="00F970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lastRenderedPageBreak/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5F240AA6" w14:textId="77777777" w:rsidR="00F970F7" w:rsidRPr="00107F71" w:rsidRDefault="00F970F7" w:rsidP="00F970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4B95E2C" w14:textId="77777777" w:rsidR="00F970F7" w:rsidRPr="00C94395" w:rsidRDefault="00F970F7" w:rsidP="00F970F7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C94395">
        <w:rPr>
          <w:rStyle w:val="fontesite"/>
          <w:rFonts w:ascii="Times New Roman" w:hAnsi="Times New Roman"/>
          <w:b/>
          <w:szCs w:val="24"/>
        </w:rPr>
        <w:t>Rita de Cássia Sapia Alves da Cruz</w:t>
      </w:r>
    </w:p>
    <w:p w14:paraId="565E659F" w14:textId="77777777" w:rsidR="00F970F7" w:rsidRPr="00107F71" w:rsidRDefault="00F970F7" w:rsidP="00F970F7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Diretora do Núcleo de Auditoria Interna</w:t>
      </w:r>
    </w:p>
    <w:p w14:paraId="7E6D61F8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de São Paulo</w:t>
      </w:r>
    </w:p>
    <w:p w14:paraId="455465CC" w14:textId="77777777" w:rsidR="00F970F7" w:rsidRDefault="00F970F7" w:rsidP="00F970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51D222F1" w14:textId="77777777" w:rsidR="00F970F7" w:rsidRPr="00C94395" w:rsidRDefault="00F970F7" w:rsidP="00F970F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5935D9B" w14:textId="77777777" w:rsidR="00F970F7" w:rsidRPr="00C94395" w:rsidRDefault="00F970F7" w:rsidP="00F970F7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C94395">
        <w:rPr>
          <w:rStyle w:val="fontesite"/>
          <w:rFonts w:ascii="Times New Roman" w:hAnsi="Times New Roman"/>
          <w:b/>
          <w:szCs w:val="24"/>
        </w:rPr>
        <w:t>Carlos Augusto Legendre Lima</w:t>
      </w:r>
    </w:p>
    <w:p w14:paraId="017AC5ED" w14:textId="77777777" w:rsidR="00F970F7" w:rsidRPr="00107F71" w:rsidRDefault="00F970F7" w:rsidP="00F970F7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do Núcleo de Auditoria Interna </w:t>
      </w:r>
    </w:p>
    <w:p w14:paraId="5E07B491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do Rio Grande do Sul</w:t>
      </w:r>
    </w:p>
    <w:p w14:paraId="68A7039A" w14:textId="77777777" w:rsidR="00F970F7" w:rsidRPr="00107F71" w:rsidRDefault="00F970F7" w:rsidP="00F970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6A4229F2" w14:textId="77777777" w:rsidR="00F970F7" w:rsidRPr="00107F71" w:rsidRDefault="00F970F7" w:rsidP="00F970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750248D" w14:textId="77777777" w:rsidR="00F970F7" w:rsidRPr="00C94395" w:rsidRDefault="00F970F7" w:rsidP="00F970F7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C94395">
        <w:rPr>
          <w:rStyle w:val="fontesite"/>
          <w:rFonts w:ascii="Times New Roman" w:hAnsi="Times New Roman"/>
          <w:b/>
          <w:szCs w:val="24"/>
        </w:rPr>
        <w:t>Cesar Oliveira de Barros Leal Filho</w:t>
      </w:r>
    </w:p>
    <w:p w14:paraId="2896DD76" w14:textId="77777777" w:rsidR="00F970F7" w:rsidRPr="00107F71" w:rsidRDefault="00F970F7" w:rsidP="00F970F7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Supervisor da Seção de Auditoria Interna</w:t>
      </w:r>
    </w:p>
    <w:p w14:paraId="3EBAC019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da Paraíba</w:t>
      </w:r>
    </w:p>
    <w:p w14:paraId="1D685CD2" w14:textId="77777777" w:rsidR="00F970F7" w:rsidRPr="00107F71" w:rsidRDefault="00F970F7" w:rsidP="00F970F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47BDA0AE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0CA1C7C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- Angelita da Mota Ayres Rodrigues</w:t>
      </w:r>
    </w:p>
    <w:p w14:paraId="74B3A2C0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Subsecretária de Auditoria de Governança e de Gestão</w:t>
      </w:r>
    </w:p>
    <w:p w14:paraId="2A779A8F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49712EB3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16195F33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6665D6A8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/>
          <w:color w:val="auto"/>
          <w:sz w:val="24"/>
          <w:szCs w:val="24"/>
        </w:rPr>
        <w:t>Roberto Junio dos Santos Moreira</w:t>
      </w:r>
    </w:p>
    <w:p w14:paraId="6BE8CE89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Subsecretário de Auditoria de Licitações, Contratos e de Pessoal</w:t>
      </w:r>
    </w:p>
    <w:p w14:paraId="5D484000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37CC1EEF" w14:textId="77777777" w:rsidR="00F970F7" w:rsidRPr="00107F71" w:rsidRDefault="00F970F7" w:rsidP="00F970F7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2CCB95FC" w14:textId="77777777" w:rsidR="00F970F7" w:rsidRPr="00107F71" w:rsidRDefault="00F970F7" w:rsidP="00F970F7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945B240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- Roberta Bastos Cunha Nunes</w:t>
      </w:r>
    </w:p>
    <w:p w14:paraId="21D40297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Assessora Técnica</w:t>
      </w:r>
    </w:p>
    <w:p w14:paraId="5D741D51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4A958AAF" w14:textId="77777777" w:rsidR="00F970F7" w:rsidRDefault="00F970F7" w:rsidP="00F970F7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65F648BE" w14:textId="77777777" w:rsidR="00F970F7" w:rsidRDefault="00F970F7" w:rsidP="00F970F7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45193D1" w14:textId="1467722D" w:rsidR="00F970F7" w:rsidRDefault="00F970F7" w:rsidP="00F970F7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Débora Cristina Jardim Vaz</w:t>
      </w:r>
    </w:p>
    <w:p w14:paraId="38A076E4" w14:textId="4C324CE4" w:rsidR="00F970F7" w:rsidRDefault="00F970F7" w:rsidP="00F970F7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Chefe da Seção de Auditoria de Gestão e de Prestação de Contas</w:t>
      </w:r>
    </w:p>
    <w:p w14:paraId="7EFDEAFB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>ria de Auditoria de Governança e de Gestão</w:t>
      </w:r>
    </w:p>
    <w:p w14:paraId="6E2C9D6F" w14:textId="40BC92CE" w:rsidR="00F970F7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1D58C9B8" w14:textId="723F6C5C" w:rsidR="00F970F7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062D016F" w14:textId="5FC1685E" w:rsidR="00F970F7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Fábio Júnio Dantas</w:t>
      </w:r>
    </w:p>
    <w:p w14:paraId="19CDC374" w14:textId="7F9CAD98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Chefe da Seção de Auditoria de Pessoal</w:t>
      </w:r>
    </w:p>
    <w:p w14:paraId="3DBC9FC2" w14:textId="1A86DFB9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>ri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 xml:space="preserve"> de Auditoria de Licitações, Contratos e de Pessoal</w:t>
      </w:r>
    </w:p>
    <w:p w14:paraId="08499AB7" w14:textId="77777777" w:rsidR="00F970F7" w:rsidRPr="00107F71" w:rsidRDefault="00F970F7" w:rsidP="00F970F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0AC10BAA" w14:textId="77777777" w:rsidR="00F970F7" w:rsidRPr="00107F71" w:rsidRDefault="00F970F7" w:rsidP="00F970F7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40A0AE13" w14:textId="77777777" w:rsidR="00F970F7" w:rsidRPr="000F5F6F" w:rsidRDefault="00F970F7" w:rsidP="00F970F7">
      <w:pPr>
        <w:tabs>
          <w:tab w:val="center" w:pos="2711"/>
        </w:tabs>
        <w:spacing w:after="0"/>
        <w:ind w:left="-15"/>
        <w:rPr>
          <w:rFonts w:ascii="Times New Roman" w:hAnsi="Times New Roman" w:cs="Times New Roman"/>
          <w:color w:val="auto"/>
          <w:sz w:val="24"/>
          <w:szCs w:val="24"/>
        </w:rPr>
      </w:pPr>
    </w:p>
    <w:p w14:paraId="0257F930" w14:textId="77777777" w:rsidR="00F970F7" w:rsidRDefault="00F970F7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3BE9B291" w14:textId="77777777" w:rsidR="000C6BD9" w:rsidRDefault="000C6BD9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628" w:type="dxa"/>
        <w:tblInd w:w="-427" w:type="dxa"/>
        <w:tblCellMar>
          <w:top w:w="14" w:type="dxa"/>
          <w:left w:w="144" w:type="dxa"/>
          <w:right w:w="26" w:type="dxa"/>
        </w:tblCellMar>
        <w:tblLook w:val="04A0" w:firstRow="1" w:lastRow="0" w:firstColumn="1" w:lastColumn="0" w:noHBand="0" w:noVBand="1"/>
      </w:tblPr>
      <w:tblGrid>
        <w:gridCol w:w="2974"/>
        <w:gridCol w:w="7654"/>
      </w:tblGrid>
      <w:tr w:rsidR="00F970F7" w14:paraId="135F2AEE" w14:textId="77777777" w:rsidTr="00F970F7">
        <w:trPr>
          <w:trHeight w:val="34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E592" w14:textId="77777777" w:rsidR="00F970F7" w:rsidRPr="0048269A" w:rsidRDefault="00F970F7">
            <w:pPr>
              <w:ind w:left="251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TEMA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0F8C" w14:textId="77777777" w:rsidR="00F970F7" w:rsidRPr="0048269A" w:rsidRDefault="00F970F7">
            <w:pPr>
              <w:ind w:right="336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OBJETIVOS </w:t>
            </w:r>
          </w:p>
        </w:tc>
      </w:tr>
      <w:tr w:rsidR="00F970F7" w14:paraId="6D93CF23" w14:textId="77777777" w:rsidTr="00F970F7">
        <w:trPr>
          <w:trHeight w:val="396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2966" w14:textId="77777777" w:rsidR="00F970F7" w:rsidRPr="0048269A" w:rsidRDefault="00F970F7">
            <w:pPr>
              <w:ind w:left="298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  <w:u w:val="single" w:color="000000"/>
              </w:rPr>
              <w:t>Abertura</w:t>
            </w: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2C3C" w14:textId="77777777" w:rsidR="00F970F7" w:rsidRPr="0048269A" w:rsidRDefault="00F970F7">
            <w:pPr>
              <w:ind w:left="295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970F7" w:rsidRPr="00745C17" w14:paraId="6DECAE5D" w14:textId="77777777" w:rsidTr="00F970F7">
        <w:trPr>
          <w:trHeight w:val="133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1115" w14:textId="612DB2E5" w:rsidR="00F970F7" w:rsidRPr="00745C17" w:rsidRDefault="00F970F7" w:rsidP="00FF77C7">
            <w:pPr>
              <w:ind w:righ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Tema 1</w:t>
            </w: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 de Auditoria de Longo Prazo – PALP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ACB1" w14:textId="022B9202" w:rsidR="00F970F7" w:rsidRDefault="00F970F7" w:rsidP="00617215">
            <w:pPr>
              <w:tabs>
                <w:tab w:val="left" w:pos="7227"/>
              </w:tabs>
              <w:spacing w:line="238" w:lineRule="auto"/>
              <w:ind w:left="2" w:right="25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Concluir a uniformização dos temas a serem incluídos no próximo Plano de Auditoria de Longo Prazo – PALP – para o quadriênio 2022-2025.</w:t>
            </w:r>
          </w:p>
          <w:p w14:paraId="62CCE4B0" w14:textId="696E297F" w:rsidR="00F970F7" w:rsidRDefault="00F970F7" w:rsidP="00617215">
            <w:pPr>
              <w:tabs>
                <w:tab w:val="left" w:pos="7227"/>
              </w:tabs>
              <w:spacing w:line="238" w:lineRule="auto"/>
              <w:ind w:left="2" w:right="25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31DC0" w14:textId="77777777" w:rsidR="006A0EF0" w:rsidRDefault="006A0EF0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>A Secretária de Auditoria Interna iniciou a reunião manifestando dúvidas quanto aos temas do próximo PALP, uma vez que</w:t>
            </w:r>
            <w:r w:rsidR="00BA00D5">
              <w:t xml:space="preserve"> a carga de trabalho está </w:t>
            </w:r>
            <w:r w:rsidR="00BA00D5">
              <w:lastRenderedPageBreak/>
              <w:t>muito intensa e não há pessoal suficiente para realizar a contento todas as atividades propostas.</w:t>
            </w:r>
          </w:p>
          <w:p w14:paraId="11449DE6" w14:textId="330BB02D" w:rsidR="00BA00D5" w:rsidRDefault="00BA00D5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 xml:space="preserve">Em seguida, apresentou os temas </w:t>
            </w:r>
            <w:r w:rsidR="00A1542B">
              <w:t>apresentados</w:t>
            </w:r>
            <w:r>
              <w:t xml:space="preserve"> </w:t>
            </w:r>
            <w:r w:rsidR="00A1542B">
              <w:t xml:space="preserve">pelo TRF1 com as sugestões de adequações </w:t>
            </w:r>
            <w:r>
              <w:t>pelo CJF:</w:t>
            </w:r>
          </w:p>
          <w:p w14:paraId="6BCABA6E" w14:textId="602DD66E" w:rsidR="001D5F1A" w:rsidRPr="001D5F1A" w:rsidRDefault="00BA00D5" w:rsidP="00731CCF">
            <w:pPr>
              <w:pStyle w:val="dou-paragraph"/>
              <w:numPr>
                <w:ilvl w:val="0"/>
                <w:numId w:val="11"/>
              </w:numPr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C94395">
              <w:rPr>
                <w:b/>
              </w:rPr>
              <w:t>Gestão orçamentária, financeira, contábil e patrimonial</w:t>
            </w:r>
            <w:r w:rsidRPr="00BA00D5">
              <w:t xml:space="preserve"> – objetivo: </w:t>
            </w:r>
            <w:r w:rsidR="00A1542B">
              <w:t>V</w:t>
            </w:r>
            <w:r w:rsidR="001D5F1A" w:rsidRPr="001D5F1A">
              <w:t>erificar se a gestão orçamentária, financeira e patrimonial do órgão estão em conformidade com as leis e regulamentos aplicáveis e com os princípios de administração pública.</w:t>
            </w:r>
          </w:p>
          <w:p w14:paraId="160B77F5" w14:textId="77777777" w:rsidR="00BA00D5" w:rsidRPr="00BA00D5" w:rsidRDefault="00BA00D5" w:rsidP="00617215">
            <w:pPr>
              <w:pStyle w:val="dou-paragraph"/>
              <w:numPr>
                <w:ilvl w:val="0"/>
                <w:numId w:val="11"/>
              </w:numPr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C94395">
              <w:rPr>
                <w:b/>
              </w:rPr>
              <w:t>Gestão de riscos e controles internos</w:t>
            </w:r>
            <w:r w:rsidRPr="00BA00D5">
              <w:t xml:space="preserve"> – objetivo: avaliar a efetiva implementação, o grau de maturidade, e o funcionamento dos processos de gestão de riscos e os controles internos administrativos;</w:t>
            </w:r>
          </w:p>
          <w:p w14:paraId="5105B66A" w14:textId="77777777" w:rsidR="00BA00D5" w:rsidRPr="00BA00D5" w:rsidRDefault="00BA00D5" w:rsidP="00617215">
            <w:pPr>
              <w:pStyle w:val="dou-paragraph"/>
              <w:numPr>
                <w:ilvl w:val="0"/>
                <w:numId w:val="11"/>
              </w:numPr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C94395">
              <w:rPr>
                <w:b/>
              </w:rPr>
              <w:t>Gestão documental (englobando a avaliação do cumprimento da LGPD)</w:t>
            </w:r>
            <w:r w:rsidRPr="00BA00D5">
              <w:t xml:space="preserve"> – objetivo: avaliar a aderência do órgão às normas, regulamentos e diretrizes da gestão de processos e documentos institucionais;</w:t>
            </w:r>
          </w:p>
          <w:p w14:paraId="5BB4AD40" w14:textId="77777777" w:rsidR="00BA00D5" w:rsidRPr="00BA00D5" w:rsidRDefault="00BA00D5" w:rsidP="00617215">
            <w:pPr>
              <w:pStyle w:val="dou-paragraph"/>
              <w:numPr>
                <w:ilvl w:val="0"/>
                <w:numId w:val="11"/>
              </w:numPr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C94395">
              <w:rPr>
                <w:b/>
              </w:rPr>
              <w:t>Governança e gestão de pessoas</w:t>
            </w:r>
            <w:r w:rsidRPr="00BA00D5">
              <w:t xml:space="preserve"> – objetivo: avaliar o grau de maturidade do órgão na aderência aos referenciais de governança, bem como a conformidade dos processos de trabalho atinentes à área de gestão de pessoas às normas e regulamentos aplicáveis;</w:t>
            </w:r>
          </w:p>
          <w:p w14:paraId="3D675E8C" w14:textId="77777777" w:rsidR="00BA00D5" w:rsidRPr="00BA00D5" w:rsidRDefault="00BA00D5" w:rsidP="00617215">
            <w:pPr>
              <w:pStyle w:val="dou-paragraph"/>
              <w:numPr>
                <w:ilvl w:val="0"/>
                <w:numId w:val="11"/>
              </w:numPr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C94395">
              <w:rPr>
                <w:b/>
              </w:rPr>
              <w:t>Governança e gestão da tecnologia da informação</w:t>
            </w:r>
            <w:r w:rsidRPr="00BA00D5">
              <w:t xml:space="preserve"> - objetivo: avaliar o grau de maturidade do órgão na aderência aos referenciais de governança, bem como a conformidade dos processos de trabalho atinentes à área de gestão da tecnologia da informação às normas e regulamentos aplicáveis;</w:t>
            </w:r>
          </w:p>
          <w:p w14:paraId="41A2E2B9" w14:textId="77777777" w:rsidR="00BA00D5" w:rsidRPr="00BA00D5" w:rsidRDefault="00BA00D5" w:rsidP="00617215">
            <w:pPr>
              <w:pStyle w:val="dou-paragraph"/>
              <w:numPr>
                <w:ilvl w:val="0"/>
                <w:numId w:val="11"/>
              </w:numPr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C94395">
              <w:rPr>
                <w:b/>
              </w:rPr>
              <w:t>Governança e gestão ambiental</w:t>
            </w:r>
            <w:r w:rsidRPr="00BA00D5">
              <w:t xml:space="preserve"> - objetivo: avaliar o grau de maturidade do órgão na aderência aos referenciais de governança, bem como a conformidade dos processos de trabalho atinentes à área de gestão ambiental às normas e regulamentos aplicáveis;</w:t>
            </w:r>
          </w:p>
          <w:p w14:paraId="20E0A016" w14:textId="77777777" w:rsidR="00BA00D5" w:rsidRPr="00BA00D5" w:rsidRDefault="00BA00D5" w:rsidP="00617215">
            <w:pPr>
              <w:pStyle w:val="dou-paragraph"/>
              <w:numPr>
                <w:ilvl w:val="0"/>
                <w:numId w:val="11"/>
              </w:numPr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C94395">
              <w:rPr>
                <w:b/>
              </w:rPr>
              <w:t>Governança e Gestão Estratégica</w:t>
            </w:r>
            <w:r w:rsidRPr="00BA00D5">
              <w:t xml:space="preserve"> (englobando avaliação de resultados) - objetivo: avaliar o grau de maturidade do órgão na aderência aos referenciais de governança e de gestão estratégica, bem como o cumprimento dos objetivos e das metas do planejamento estratégico organizacional;</w:t>
            </w:r>
          </w:p>
          <w:p w14:paraId="03460883" w14:textId="77777777" w:rsidR="00BA00D5" w:rsidRPr="00BA00D5" w:rsidRDefault="00BA00D5" w:rsidP="00617215">
            <w:pPr>
              <w:pStyle w:val="dou-paragraph"/>
              <w:numPr>
                <w:ilvl w:val="0"/>
                <w:numId w:val="11"/>
              </w:numPr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C94395">
              <w:rPr>
                <w:b/>
              </w:rPr>
              <w:t>Governança e gestão das contratações</w:t>
            </w:r>
            <w:r w:rsidRPr="00BA00D5">
              <w:t xml:space="preserve"> - objetivo: avaliar o grau de maturidade do órgão na aderência aos referenciais de governança, bem como a conformidade dos processos de trabalho atinentes à área de contratações às normas e regulamentos aplicáveis;</w:t>
            </w:r>
          </w:p>
          <w:p w14:paraId="30C14682" w14:textId="7AE23BDD" w:rsidR="00BA00D5" w:rsidRPr="00BA00D5" w:rsidRDefault="00BA00D5" w:rsidP="00617215">
            <w:pPr>
              <w:pStyle w:val="dou-paragraph"/>
              <w:numPr>
                <w:ilvl w:val="0"/>
                <w:numId w:val="11"/>
              </w:numPr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BA00D5">
              <w:t xml:space="preserve"> </w:t>
            </w:r>
            <w:r w:rsidRPr="00C94395">
              <w:rPr>
                <w:b/>
              </w:rPr>
              <w:t>Gestão de precatórios e RPVs</w:t>
            </w:r>
            <w:r w:rsidRPr="00BA00D5">
              <w:t xml:space="preserve"> – objetivo: avaliar o processo de trabalho de gestão de precatórios e RPVs ou, se não houver mapeamento, proceder ao mapeamento e avaliar os riscos significativos atinentes ao processo e as oportunidades de melhoria.</w:t>
            </w:r>
          </w:p>
          <w:p w14:paraId="54FEECB7" w14:textId="7C0F1532" w:rsidR="00BA00D5" w:rsidRDefault="00BA00D5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 xml:space="preserve">Relatou ter verificado as ações coordenadas de auditoria do CNJ dos anos anteriores e constatou que os temas Tecnologia da Informação, Gestão Documental e </w:t>
            </w:r>
            <w:r w:rsidR="00132B0B">
              <w:t xml:space="preserve">Gestão Orçamentária, Financeira e Contábil </w:t>
            </w:r>
            <w:r>
              <w:t>já foram abordados em auditorias recentes</w:t>
            </w:r>
            <w:r w:rsidR="00132B0B">
              <w:t xml:space="preserve"> e o tema Governança e Gestão de Pessoas</w:t>
            </w:r>
            <w:r>
              <w:t xml:space="preserve"> </w:t>
            </w:r>
            <w:r w:rsidR="00132B0B">
              <w:t xml:space="preserve">foi objeto de realização de auditoria conjunta deste CJF com os tribunais regionais federais. </w:t>
            </w:r>
            <w:r>
              <w:t xml:space="preserve">Informou que irá encaminhar a todos os temas sugeridos </w:t>
            </w:r>
            <w:r>
              <w:lastRenderedPageBreak/>
              <w:t>e  respectivos objetivos se todos concordarem em manter os temas, os Planos de Longo Prazo poderão ser fechados com esses temas.</w:t>
            </w:r>
          </w:p>
          <w:p w14:paraId="70C320BF" w14:textId="6FB6BBF1" w:rsidR="00132B0B" w:rsidRDefault="00BA00D5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>Disse que gostaria de ouvi-los a respeito d</w:t>
            </w:r>
            <w:r w:rsidR="00132B0B">
              <w:t>e</w:t>
            </w:r>
            <w:r>
              <w:t xml:space="preserve"> sugestões acerca dos temas das auditorias </w:t>
            </w:r>
            <w:r w:rsidRPr="004F3856">
              <w:t>conjuntas</w:t>
            </w:r>
            <w:r w:rsidR="00132B0B">
              <w:t>.</w:t>
            </w:r>
          </w:p>
          <w:p w14:paraId="38A31DDF" w14:textId="05538933" w:rsidR="00BA00D5" w:rsidRDefault="00BA00D5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>O representante do TRF4 ponderou que a obrigatoriedade de realização anual da Auditoria Financeira limitou muito a capacidade de realização de outras auditorias mais complexas.</w:t>
            </w:r>
          </w:p>
          <w:p w14:paraId="75CE3D60" w14:textId="505505EF" w:rsidR="00BA00D5" w:rsidRDefault="00BA00D5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>A representante do TRF3 sugeriu que a Auditoria de Precatórios seja separada da Auditoria Financeira</w:t>
            </w:r>
            <w:r w:rsidR="00A06823">
              <w:t>. Disse estar pensando, na 3ª Região, em fazer uma auditoria voltada para o tema orçamentário-financeiro, e outra voltada para almoxarifado, como auditorias auxiliares à Auditoria Financeira.</w:t>
            </w:r>
          </w:p>
          <w:p w14:paraId="1DFED405" w14:textId="77777777" w:rsidR="00A06823" w:rsidRDefault="00A06823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>O representante da 1ª Região, em relação aos temas das auditorias conjuntas, ponderou que a auditoria de precatórios já está sendo feita. Informou que já havia, no âmbito da 1ª Região, previsão de realizar auditoria nas instalações prediais. Pontuou que, com a Auditoria de Contas, sobrou pouco tempo para realização de auditorias coordenadas e conjuntas.</w:t>
            </w:r>
          </w:p>
          <w:p w14:paraId="6E251E50" w14:textId="3CBFC0EB" w:rsidR="003D0AC5" w:rsidRDefault="003D0AC5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132B0B">
              <w:t xml:space="preserve">A Secretária de Auditoria Interna do CJF </w:t>
            </w:r>
            <w:r w:rsidR="001D5F1A" w:rsidRPr="00132B0B">
              <w:t xml:space="preserve">informou que entrou em contato com </w:t>
            </w:r>
            <w:r w:rsidRPr="00132B0B">
              <w:t xml:space="preserve">o CNJ </w:t>
            </w:r>
            <w:r w:rsidR="001D5F1A" w:rsidRPr="00132B0B">
              <w:t>e ainda não há definição sobre o tema a ser auditado em 2022.</w:t>
            </w:r>
            <w:r w:rsidR="001D5F1A">
              <w:t xml:space="preserve"> </w:t>
            </w:r>
          </w:p>
          <w:p w14:paraId="5A3ACFCF" w14:textId="138B86C8" w:rsidR="003D0AC5" w:rsidRDefault="003D0AC5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>A representante do TRF5</w:t>
            </w:r>
            <w:r w:rsidR="00931A3B">
              <w:t xml:space="preserve"> disse concordar com os temas propostos pelo CJF. </w:t>
            </w:r>
            <w:r w:rsidR="000765DC">
              <w:t>Q</w:t>
            </w:r>
            <w:r w:rsidR="00931A3B">
              <w:t>uanto à sugestão das auditorias coordenadas, salientou que o tema gestão documental é o mais sensível, uma vez que verifica não h</w:t>
            </w:r>
            <w:r w:rsidR="000765DC">
              <w:t>aver</w:t>
            </w:r>
            <w:r w:rsidR="00931A3B">
              <w:t xml:space="preserve"> regras formalizadas para utilização de sistemas de gestão documental automatizados. Disse considerar importante avaliar os riscos e os controles de cada etapa dos processos de trabalho nesses sistemas. Considera um risco grande a ausência de normatização para esse tema.</w:t>
            </w:r>
          </w:p>
          <w:p w14:paraId="0BD87B7D" w14:textId="2EE8CB19" w:rsidR="00931A3B" w:rsidRDefault="00931A3B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 xml:space="preserve">A Secretária de Auditoria Interna do CJF sugeriu que o tema fosse estudado de forma pormenorizada em 2022, para que todos pudessem estar bem preparados para </w:t>
            </w:r>
            <w:r w:rsidR="000765DC">
              <w:t xml:space="preserve">a </w:t>
            </w:r>
            <w:r>
              <w:t>realiza</w:t>
            </w:r>
            <w:r w:rsidR="000765DC">
              <w:t>ção de</w:t>
            </w:r>
            <w:r>
              <w:t xml:space="preserve"> uma auditoria em 2023.</w:t>
            </w:r>
          </w:p>
          <w:p w14:paraId="33C45CB8" w14:textId="19FB1DE1" w:rsidR="00682586" w:rsidRDefault="00DD7792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>Levantou como alternativa aproveitar os demais temas da Auditoria de Acessibilidade, que não se sabe ainda se terá continuidade pelo CNJ em 2022, especialmente a Acessibilidade das Instalações Prediais, até mesmo porque o CJF já tem um Manual a respeito do tema. Caso o CNJ não a realize, poder-se-ia pensar em eleger esse tema para a próxima Auditoria Conjunta.</w:t>
            </w:r>
          </w:p>
          <w:p w14:paraId="040820C9" w14:textId="12C99B83" w:rsidR="00A57B63" w:rsidRDefault="00A57B63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>O representante do TRF2</w:t>
            </w:r>
            <w:r w:rsidR="00006A41">
              <w:t xml:space="preserve"> demonstrou preocupação com a possibilidade de surgirem demandas de realização de consultorias, o que poderá sobrecarregar a realização das auditorias.</w:t>
            </w:r>
          </w:p>
          <w:p w14:paraId="2317129E" w14:textId="5B5FAA49" w:rsidR="00006A41" w:rsidRDefault="00006A41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 xml:space="preserve">A representante do TRF3 ressaltou que concorda que no próximo ano pode haver maior demanda por consultoria, </w:t>
            </w:r>
            <w:r w:rsidR="000765DC">
              <w:t>em virtude da entrada em vigor d</w:t>
            </w:r>
            <w:r>
              <w:t>a nova Lei de Licitações</w:t>
            </w:r>
            <w:r w:rsidR="000765DC">
              <w:t>.</w:t>
            </w:r>
            <w:r>
              <w:t xml:space="preserve"> </w:t>
            </w:r>
            <w:r w:rsidR="000765DC">
              <w:t>E</w:t>
            </w:r>
            <w:r>
              <w:t xml:space="preserve">ntende que seria mais prudente elaborar um Plano enxuto e, se houver a constatação de que há tempo para </w:t>
            </w:r>
            <w:r w:rsidR="000E7903">
              <w:t>realizar mais uma auditoria, poder-se-ia acrescentá-la como extra-plano.</w:t>
            </w:r>
          </w:p>
          <w:p w14:paraId="11E24A15" w14:textId="7FB18654" w:rsidR="000E7903" w:rsidRDefault="000765DC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>A representante do TRF5 observou que a</w:t>
            </w:r>
            <w:r w:rsidR="00E23565">
              <w:t xml:space="preserve"> maioria dos temas sugeridos </w:t>
            </w:r>
            <w:r w:rsidR="001551EE">
              <w:t xml:space="preserve">para o PALP </w:t>
            </w:r>
            <w:r w:rsidR="00E23565">
              <w:t>será contemplada na</w:t>
            </w:r>
            <w:r>
              <w:t xml:space="preserve"> Auditoria nas Contas</w:t>
            </w:r>
            <w:r w:rsidR="00E23565">
              <w:t xml:space="preserve"> e que poderiam ser sub-tópicos da Auditoria de Contas.</w:t>
            </w:r>
          </w:p>
          <w:p w14:paraId="2A1B3D7F" w14:textId="77777777" w:rsidR="00BD56DF" w:rsidRDefault="00BD56DF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 xml:space="preserve">A Representante do TRF3 sugeriu que se elegesse uma parte da Auditoria Financeira para realização conjunta. A Secretária de Auditoria Interna do </w:t>
            </w:r>
            <w:r>
              <w:lastRenderedPageBreak/>
              <w:t>CJF argumentou que seria difícil, pois cada Órgão tem a sua materialidade própria e as contas são diferentes em cada um.</w:t>
            </w:r>
          </w:p>
          <w:p w14:paraId="03F40CA1" w14:textId="77777777" w:rsidR="00BD56DF" w:rsidRDefault="00BD56DF" w:rsidP="00617215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>
              <w:t>O representante da Seção Judiciária da Paraíba sugeriu como tema para a auditoria conjunta a gestão de riscos, já que é um tema que envolve todos os setores da Administração. A Secretária de Auditoria Interna do CJF disse que o CJF já está realizando auditoria na gestão de riscos dos TRFs.</w:t>
            </w:r>
          </w:p>
          <w:p w14:paraId="4BDC4522" w14:textId="1818652F" w:rsidR="00BD56DF" w:rsidRPr="004F3856" w:rsidRDefault="000765DC" w:rsidP="000765DC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  <w:rPr>
                <w:strike/>
              </w:rPr>
            </w:pPr>
            <w:r>
              <w:t xml:space="preserve">O representante da 1ª Região solicitou à Secretária de Auditoria Interna do CJF que se manifestasse sobre a Resolução n. 422/2021 do CNJ. A Secretária de Auditoria Interna do CJF disse que já conversou com o Secretário-Geral do CJF </w:t>
            </w:r>
            <w:r w:rsidRPr="00C94395">
              <w:t>e que houve a sinalização de que os normativos do CJF terão de se adaptar a essa nova norma</w:t>
            </w:r>
            <w:r>
              <w:t>. Afirmou</w:t>
            </w:r>
            <w:r w:rsidR="008520F6">
              <w:t xml:space="preserve"> que já está sendo preparada uma minuta de alteração das Resoluções do CJF e que oportunamente será enviada a todos para sugestões. </w:t>
            </w:r>
          </w:p>
          <w:p w14:paraId="2E64029A" w14:textId="77777777" w:rsidR="00A45A0B" w:rsidRPr="00A45A0B" w:rsidRDefault="00A45A0B" w:rsidP="000765DC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  <w:rPr>
                <w:b/>
              </w:rPr>
            </w:pPr>
            <w:r w:rsidRPr="00A45A0B">
              <w:rPr>
                <w:b/>
              </w:rPr>
              <w:t>Deliberação:</w:t>
            </w:r>
          </w:p>
          <w:p w14:paraId="592DF9A7" w14:textId="77777777" w:rsidR="004F3856" w:rsidRPr="00576D8A" w:rsidRDefault="00A45A0B" w:rsidP="000765DC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576D8A">
              <w:t>A Secretária de Auditoria Interna do CJF se comprometeu a encaminhar aos demais membros do CTAI</w:t>
            </w:r>
            <w:r w:rsidR="004F3856" w:rsidRPr="00576D8A">
              <w:t>:</w:t>
            </w:r>
          </w:p>
          <w:p w14:paraId="52CA30DD" w14:textId="4C96FF72" w:rsidR="00A45A0B" w:rsidRPr="00576D8A" w:rsidRDefault="004F3856" w:rsidP="007059E7">
            <w:pPr>
              <w:pStyle w:val="dou-paragraph"/>
              <w:numPr>
                <w:ilvl w:val="0"/>
                <w:numId w:val="12"/>
              </w:numPr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576D8A">
              <w:t>M</w:t>
            </w:r>
            <w:r w:rsidR="00A45A0B" w:rsidRPr="00576D8A">
              <w:t xml:space="preserve">inuta ajustada de temas para o PALP e </w:t>
            </w:r>
            <w:r w:rsidRPr="00576D8A">
              <w:t xml:space="preserve">respectivos objetivos, e sugestões de </w:t>
            </w:r>
            <w:r w:rsidR="00A45A0B" w:rsidRPr="00576D8A">
              <w:t>Ação Conjunta de Auditoria, para que todos possam encaminhar suas manifestações a respeito, de modo a embasar a decisão final do CTAI.</w:t>
            </w:r>
          </w:p>
          <w:p w14:paraId="42B0DBC7" w14:textId="1E8417EF" w:rsidR="004F3856" w:rsidRPr="00576D8A" w:rsidRDefault="004F3856" w:rsidP="004F3856">
            <w:pPr>
              <w:pStyle w:val="dou-paragraph"/>
              <w:numPr>
                <w:ilvl w:val="0"/>
                <w:numId w:val="12"/>
              </w:numPr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  <w:r w:rsidRPr="00576D8A">
              <w:t>Minuta de alteração das Resoluções CJF n. 653, 676 e 677, todas de 2020, em função da edição da Resolução n. 422/2021, do Conselho Nacional de Justiça.</w:t>
            </w:r>
          </w:p>
          <w:p w14:paraId="13603C0E" w14:textId="72D43A36" w:rsidR="004F3856" w:rsidRPr="00745C17" w:rsidRDefault="004F3856" w:rsidP="000765DC">
            <w:pPr>
              <w:pStyle w:val="dou-paragraph"/>
              <w:shd w:val="clear" w:color="auto" w:fill="FFFFFF"/>
              <w:tabs>
                <w:tab w:val="left" w:pos="7227"/>
              </w:tabs>
              <w:spacing w:before="0" w:beforeAutospacing="0" w:after="150" w:afterAutospacing="0"/>
              <w:ind w:right="254"/>
              <w:jc w:val="both"/>
            </w:pPr>
          </w:p>
        </w:tc>
      </w:tr>
    </w:tbl>
    <w:p w14:paraId="5DF6A8F6" w14:textId="7AEE6F3F" w:rsidR="00B9691A" w:rsidRDefault="00B9691A" w:rsidP="00EB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EC66A" w14:textId="257E942C" w:rsidR="00576D8A" w:rsidRDefault="00576D8A" w:rsidP="00EB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7104A" w14:textId="1E08921E" w:rsidR="00576D8A" w:rsidRDefault="00576D8A" w:rsidP="00EB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A5B52" w14:textId="77777777" w:rsidR="00576D8A" w:rsidRDefault="00576D8A" w:rsidP="00EB77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6D8A" w:rsidSect="0048269A">
      <w:pgSz w:w="11906" w:h="16841"/>
      <w:pgMar w:top="284" w:right="17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1217" w14:textId="77777777" w:rsidR="00096B0D" w:rsidRDefault="00096B0D" w:rsidP="00FF77C7">
      <w:pPr>
        <w:spacing w:after="0" w:line="240" w:lineRule="auto"/>
      </w:pPr>
      <w:r>
        <w:separator/>
      </w:r>
    </w:p>
  </w:endnote>
  <w:endnote w:type="continuationSeparator" w:id="0">
    <w:p w14:paraId="1916B39A" w14:textId="77777777" w:rsidR="00096B0D" w:rsidRDefault="00096B0D" w:rsidP="00FF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D8AD" w14:textId="77777777" w:rsidR="00096B0D" w:rsidRDefault="00096B0D" w:rsidP="00FF77C7">
      <w:pPr>
        <w:spacing w:after="0" w:line="240" w:lineRule="auto"/>
      </w:pPr>
      <w:r>
        <w:separator/>
      </w:r>
    </w:p>
  </w:footnote>
  <w:footnote w:type="continuationSeparator" w:id="0">
    <w:p w14:paraId="400DF6B8" w14:textId="77777777" w:rsidR="00096B0D" w:rsidRDefault="00096B0D" w:rsidP="00FF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0AC"/>
    <w:multiLevelType w:val="hybridMultilevel"/>
    <w:tmpl w:val="E140E600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357A1"/>
    <w:multiLevelType w:val="hybridMultilevel"/>
    <w:tmpl w:val="F9CCA184"/>
    <w:lvl w:ilvl="0" w:tplc="B176AB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2AF"/>
    <w:multiLevelType w:val="hybridMultilevel"/>
    <w:tmpl w:val="76D8D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6C1C"/>
    <w:multiLevelType w:val="hybridMultilevel"/>
    <w:tmpl w:val="8934FB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770F"/>
    <w:multiLevelType w:val="hybridMultilevel"/>
    <w:tmpl w:val="360A9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904"/>
    <w:multiLevelType w:val="hybridMultilevel"/>
    <w:tmpl w:val="AFCA8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9D3"/>
    <w:multiLevelType w:val="hybridMultilevel"/>
    <w:tmpl w:val="58C0164A"/>
    <w:lvl w:ilvl="0" w:tplc="EBEC8352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2E692CAD"/>
    <w:multiLevelType w:val="hybridMultilevel"/>
    <w:tmpl w:val="C002A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655C2"/>
    <w:multiLevelType w:val="hybridMultilevel"/>
    <w:tmpl w:val="A0DCA9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05A62"/>
    <w:multiLevelType w:val="hybridMultilevel"/>
    <w:tmpl w:val="76D8D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05FB8"/>
    <w:multiLevelType w:val="hybridMultilevel"/>
    <w:tmpl w:val="D6BECB60"/>
    <w:lvl w:ilvl="0" w:tplc="28ACB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166B"/>
    <w:multiLevelType w:val="hybridMultilevel"/>
    <w:tmpl w:val="06D2E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BE"/>
    <w:rsid w:val="00006A41"/>
    <w:rsid w:val="000329E9"/>
    <w:rsid w:val="00052706"/>
    <w:rsid w:val="00052F87"/>
    <w:rsid w:val="000765DC"/>
    <w:rsid w:val="00080831"/>
    <w:rsid w:val="00096B0D"/>
    <w:rsid w:val="000C1E84"/>
    <w:rsid w:val="000C6BD9"/>
    <w:rsid w:val="000C6C98"/>
    <w:rsid w:val="000E7903"/>
    <w:rsid w:val="001067D0"/>
    <w:rsid w:val="00132B0B"/>
    <w:rsid w:val="001551EE"/>
    <w:rsid w:val="001B5794"/>
    <w:rsid w:val="001D5F1A"/>
    <w:rsid w:val="002244DA"/>
    <w:rsid w:val="00276341"/>
    <w:rsid w:val="00284CBB"/>
    <w:rsid w:val="002B5505"/>
    <w:rsid w:val="002C4737"/>
    <w:rsid w:val="002E2076"/>
    <w:rsid w:val="002E745C"/>
    <w:rsid w:val="00372DF3"/>
    <w:rsid w:val="003D0AC5"/>
    <w:rsid w:val="003E539C"/>
    <w:rsid w:val="004305A4"/>
    <w:rsid w:val="00461827"/>
    <w:rsid w:val="0048269A"/>
    <w:rsid w:val="004A1C71"/>
    <w:rsid w:val="004A7416"/>
    <w:rsid w:val="004B12CE"/>
    <w:rsid w:val="004E620E"/>
    <w:rsid w:val="004F2F68"/>
    <w:rsid w:val="004F3856"/>
    <w:rsid w:val="00510ABC"/>
    <w:rsid w:val="00521295"/>
    <w:rsid w:val="00543C53"/>
    <w:rsid w:val="00547735"/>
    <w:rsid w:val="00576D8A"/>
    <w:rsid w:val="005C3F7C"/>
    <w:rsid w:val="005E080A"/>
    <w:rsid w:val="00614124"/>
    <w:rsid w:val="00617215"/>
    <w:rsid w:val="006343CD"/>
    <w:rsid w:val="00682586"/>
    <w:rsid w:val="0068473F"/>
    <w:rsid w:val="0069419C"/>
    <w:rsid w:val="006A0EF0"/>
    <w:rsid w:val="006D20BE"/>
    <w:rsid w:val="00701F68"/>
    <w:rsid w:val="007126B1"/>
    <w:rsid w:val="00745C17"/>
    <w:rsid w:val="0076671A"/>
    <w:rsid w:val="00776BFB"/>
    <w:rsid w:val="007A0BC1"/>
    <w:rsid w:val="007B09B2"/>
    <w:rsid w:val="007D3A27"/>
    <w:rsid w:val="008025B9"/>
    <w:rsid w:val="00843D6F"/>
    <w:rsid w:val="008520F6"/>
    <w:rsid w:val="00926234"/>
    <w:rsid w:val="00930415"/>
    <w:rsid w:val="00931A3B"/>
    <w:rsid w:val="009B0E16"/>
    <w:rsid w:val="009F0976"/>
    <w:rsid w:val="00A06823"/>
    <w:rsid w:val="00A141A0"/>
    <w:rsid w:val="00A1542B"/>
    <w:rsid w:val="00A21899"/>
    <w:rsid w:val="00A43F6D"/>
    <w:rsid w:val="00A45A0B"/>
    <w:rsid w:val="00A57B63"/>
    <w:rsid w:val="00A66004"/>
    <w:rsid w:val="00A67C6C"/>
    <w:rsid w:val="00A9171E"/>
    <w:rsid w:val="00A966C9"/>
    <w:rsid w:val="00B10B72"/>
    <w:rsid w:val="00B4574B"/>
    <w:rsid w:val="00B71F29"/>
    <w:rsid w:val="00B9691A"/>
    <w:rsid w:val="00BA00D5"/>
    <w:rsid w:val="00BC0FE5"/>
    <w:rsid w:val="00BD0DD4"/>
    <w:rsid w:val="00BD56DF"/>
    <w:rsid w:val="00C0211C"/>
    <w:rsid w:val="00C7258C"/>
    <w:rsid w:val="00C93FA5"/>
    <w:rsid w:val="00C94395"/>
    <w:rsid w:val="00CA7441"/>
    <w:rsid w:val="00CE2383"/>
    <w:rsid w:val="00D2474C"/>
    <w:rsid w:val="00D72CBB"/>
    <w:rsid w:val="00D7359E"/>
    <w:rsid w:val="00D83D9D"/>
    <w:rsid w:val="00DD7792"/>
    <w:rsid w:val="00E23565"/>
    <w:rsid w:val="00E24D2B"/>
    <w:rsid w:val="00E2547C"/>
    <w:rsid w:val="00E92549"/>
    <w:rsid w:val="00EB7798"/>
    <w:rsid w:val="00EC7535"/>
    <w:rsid w:val="00EF49AB"/>
    <w:rsid w:val="00F63E29"/>
    <w:rsid w:val="00F87D30"/>
    <w:rsid w:val="00F970F7"/>
    <w:rsid w:val="00FF402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BEF2"/>
  <w15:docId w15:val="{CE7134CC-53DD-4538-A515-A984255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qFormat/>
    <w:rsid w:val="00F970F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970F7"/>
    <w:pPr>
      <w:keepNext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7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ato">
    <w:name w:val="ato"/>
    <w:basedOn w:val="Normal"/>
    <w:rsid w:val="00052F87"/>
    <w:pPr>
      <w:keepNext/>
      <w:spacing w:after="36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customStyle="1" w:styleId="paragrafo-2">
    <w:name w:val="paragrafo-2"/>
    <w:basedOn w:val="Normal"/>
    <w:rsid w:val="008025B9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F6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Forte">
    <w:name w:val="Strong"/>
    <w:basedOn w:val="Fontepargpadro"/>
    <w:uiPriority w:val="22"/>
    <w:qFormat/>
    <w:rsid w:val="00A6600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7C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7C7"/>
    <w:rPr>
      <w:rFonts w:ascii="Calibri" w:eastAsia="Calibri" w:hAnsi="Calibri" w:cs="Calibri"/>
      <w:color w:val="000000"/>
    </w:rPr>
  </w:style>
  <w:style w:type="paragraph" w:customStyle="1" w:styleId="dou-paragraph">
    <w:name w:val="dou-paragraph"/>
    <w:basedOn w:val="Normal"/>
    <w:rsid w:val="0074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970F7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F970F7"/>
    <w:rPr>
      <w:rFonts w:ascii="Arial" w:eastAsia="Times New Roman" w:hAnsi="Arial" w:cs="Times New Roman"/>
      <w:sz w:val="24"/>
      <w:szCs w:val="20"/>
    </w:rPr>
  </w:style>
  <w:style w:type="character" w:customStyle="1" w:styleId="fontenegrito">
    <w:name w:val="fontenegrito"/>
    <w:basedOn w:val="Fontepargpadro"/>
    <w:rsid w:val="00F970F7"/>
  </w:style>
  <w:style w:type="character" w:customStyle="1" w:styleId="fontesite">
    <w:name w:val="fontesite"/>
    <w:basedOn w:val="Fontepargpadro"/>
    <w:rsid w:val="00F9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5</Pages>
  <Words>1559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13:30 às 14:15</vt:lpstr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13:30 às 14:15</dc:title>
  <dc:subject/>
  <dc:creator>getulio</dc:creator>
  <cp:keywords/>
  <cp:lastModifiedBy>Eva Maria Ferreira Barros</cp:lastModifiedBy>
  <cp:revision>17</cp:revision>
  <cp:lastPrinted>2021-03-18T16:51:00Z</cp:lastPrinted>
  <dcterms:created xsi:type="dcterms:W3CDTF">2021-10-08T15:37:00Z</dcterms:created>
  <dcterms:modified xsi:type="dcterms:W3CDTF">2021-11-09T20:31:00Z</dcterms:modified>
</cp:coreProperties>
</file>